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Pr="000F0304" w:rsidRDefault="00D571C3" w:rsidP="007E699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F0304" w:rsidRPr="000F0304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CA42A4" w:rsidRPr="000F0304">
        <w:rPr>
          <w:rFonts w:ascii="Times New Roman" w:hAnsi="Times New Roman" w:cs="Times New Roman"/>
          <w:sz w:val="28"/>
          <w:szCs w:val="28"/>
        </w:rPr>
        <w:t xml:space="preserve"> </w:t>
      </w:r>
      <w:r w:rsidR="009924D8" w:rsidRPr="000F0304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0F0304" w:rsidRPr="000F030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требований, </w:t>
      </w:r>
      <w:r w:rsidR="000F0304" w:rsidRPr="000F0304">
        <w:rPr>
          <w:rFonts w:ascii="Times New Roman" w:hAnsi="Times New Roman" w:cs="Times New Roman"/>
          <w:sz w:val="28"/>
          <w:szCs w:val="28"/>
        </w:rPr>
        <w:t>проверяемых в рамках осуществления муниципального контроля в сфере благоустройства</w:t>
      </w:r>
      <w:r w:rsidR="000F0304" w:rsidRPr="000F0304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город Вольск Вольского муниципального района Саратовской области»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1B4660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</w:t>
            </w:r>
            <w:r w:rsidR="00D571C3" w:rsidRPr="006F26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рассматриваемого вопроса предполагается осуществить посредством разработки и принятия </w:t>
            </w:r>
            <w:r w:rsidR="006F267B" w:rsidRPr="006F26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</w:t>
            </w:r>
            <w:r w:rsidR="009924D8" w:rsidRPr="006F267B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CC4150" w:rsidRPr="006F26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267B" w:rsidRPr="006F2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Перечня индикаторов риска нарушения обязательных требований, </w:t>
            </w:r>
            <w:r w:rsidR="006F267B" w:rsidRPr="006F267B">
              <w:rPr>
                <w:rFonts w:ascii="Times New Roman" w:hAnsi="Times New Roman" w:cs="Times New Roman"/>
                <w:sz w:val="24"/>
                <w:szCs w:val="24"/>
              </w:rPr>
              <w:t>проверяемых в рамках осуществления муниципального контроля в сфере благоустройства</w:t>
            </w:r>
            <w:r w:rsidR="006F267B" w:rsidRPr="006F2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муниципального образования город Вольск Вольского муниципального района Саратовской области</w:t>
            </w:r>
            <w:r w:rsidR="009924D8" w:rsidRPr="006F26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6F267B">
              <w:rPr>
                <w:sz w:val="24"/>
                <w:szCs w:val="24"/>
              </w:rPr>
              <w:t>25</w:t>
            </w:r>
            <w:r w:rsidR="00AC3E4D">
              <w:rPr>
                <w:sz w:val="24"/>
                <w:szCs w:val="24"/>
              </w:rPr>
              <w:t xml:space="preserve">» </w:t>
            </w:r>
            <w:r w:rsidR="006F267B">
              <w:rPr>
                <w:sz w:val="24"/>
                <w:szCs w:val="24"/>
              </w:rPr>
              <w:t>ма</w:t>
            </w:r>
            <w:r w:rsidR="00C30E7B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6F267B">
              <w:rPr>
                <w:sz w:val="24"/>
                <w:szCs w:val="24"/>
              </w:rPr>
              <w:t>03</w:t>
            </w:r>
            <w:r w:rsidR="00AC3E4D">
              <w:rPr>
                <w:sz w:val="24"/>
                <w:szCs w:val="24"/>
              </w:rPr>
              <w:t>»</w:t>
            </w:r>
            <w:r w:rsidR="006F267B">
              <w:rPr>
                <w:sz w:val="24"/>
                <w:szCs w:val="24"/>
              </w:rPr>
              <w:t xml:space="preserve"> июн</w:t>
            </w:r>
            <w:r w:rsidR="00C30E7B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C30E7B">
              <w:rPr>
                <w:sz w:val="24"/>
                <w:szCs w:val="24"/>
              </w:rPr>
              <w:t>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6F267B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6F267B">
              <w:rPr>
                <w:sz w:val="22"/>
                <w:szCs w:val="22"/>
              </w:rPr>
              <w:t>12</w:t>
            </w:r>
            <w:r w:rsidR="00AC3E4D">
              <w:rPr>
                <w:sz w:val="22"/>
                <w:szCs w:val="22"/>
              </w:rPr>
              <w:t xml:space="preserve">» </w:t>
            </w:r>
            <w:r w:rsidR="006F267B">
              <w:rPr>
                <w:sz w:val="22"/>
                <w:szCs w:val="22"/>
              </w:rPr>
              <w:t>июн</w:t>
            </w:r>
            <w:r w:rsidR="00C30E7B">
              <w:rPr>
                <w:sz w:val="22"/>
                <w:szCs w:val="22"/>
              </w:rPr>
              <w:t>я</w:t>
            </w:r>
            <w:r w:rsidR="00AC3E4D">
              <w:rPr>
                <w:sz w:val="22"/>
                <w:szCs w:val="22"/>
              </w:rPr>
              <w:t xml:space="preserve"> 202</w:t>
            </w:r>
            <w:r w:rsidR="00C30E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6F267B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6F267B">
              <w:rPr>
                <w:sz w:val="24"/>
                <w:szCs w:val="24"/>
              </w:rPr>
              <w:t xml:space="preserve">постановления </w:t>
            </w:r>
            <w:r w:rsidR="0007005E" w:rsidRPr="003D1085">
              <w:rPr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AE60D9">
              <w:rPr>
                <w:sz w:val="24"/>
                <w:szCs w:val="24"/>
              </w:rPr>
              <w:t>«</w:t>
            </w:r>
            <w:r w:rsidR="006F267B" w:rsidRPr="006F267B">
              <w:rPr>
                <w:color w:val="000000"/>
                <w:sz w:val="24"/>
                <w:szCs w:val="24"/>
              </w:rPr>
              <w:t xml:space="preserve">Об утверждении Перечня индикаторов риска нарушения обязательных требований, </w:t>
            </w:r>
            <w:r w:rsidR="006F267B" w:rsidRPr="006F267B">
              <w:rPr>
                <w:sz w:val="24"/>
                <w:szCs w:val="24"/>
              </w:rPr>
              <w:t>проверяемых в рамках осуществления муниципального контроля в сфере благоустройства</w:t>
            </w:r>
            <w:r w:rsidR="006F267B" w:rsidRPr="006F267B">
              <w:rPr>
                <w:color w:val="000000"/>
                <w:sz w:val="24"/>
                <w:szCs w:val="24"/>
              </w:rPr>
              <w:t xml:space="preserve"> на территории муниципального образования город Вольск Вольского муниципального района Саратовской области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C07E92" w:rsidP="0007005E">
            <w:pPr>
              <w:pStyle w:val="af0"/>
              <w:ind w:left="15" w:firstLine="705"/>
              <w:jc w:val="both"/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Разработка </w:t>
            </w:r>
            <w:r w:rsidR="0007005E"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нормативно-правового акта в соответствии с требованиями действующего законодательства</w:t>
            </w:r>
            <w:r w:rsidR="0007005E"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53175" w:rsidRP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53175">
              <w:t xml:space="preserve">Федеральный закон от </w:t>
            </w:r>
            <w:r w:rsidR="00F21FB7">
              <w:t>2</w:t>
            </w:r>
            <w:r w:rsidR="006018DB">
              <w:t>9</w:t>
            </w:r>
            <w:r w:rsidRPr="00353175">
              <w:t>.1</w:t>
            </w:r>
            <w:r w:rsidR="00F21FB7">
              <w:t>2.202</w:t>
            </w:r>
            <w:r w:rsidR="006018DB">
              <w:t>5</w:t>
            </w:r>
            <w:r w:rsidRPr="00353175">
              <w:t xml:space="preserve"> года № </w:t>
            </w:r>
            <w:r w:rsidR="00F21FB7">
              <w:t>5</w:t>
            </w:r>
            <w:r w:rsidR="006018DB">
              <w:t>67</w:t>
            </w:r>
            <w:r w:rsidRPr="00353175">
              <w:t>-ФЗ «</w:t>
            </w:r>
            <w:r w:rsidR="00F21FB7">
              <w:t xml:space="preserve">О внесении изменений в Федеральный закон «О государственном контроле (надзоре) и муниципальном контроле </w:t>
            </w:r>
            <w:r w:rsidR="00F92C96">
              <w:t>в Российской Федерации»</w:t>
            </w:r>
          </w:p>
          <w:p w:rsid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353175">
              <w:t xml:space="preserve"> </w:t>
            </w:r>
            <w:r w:rsidRPr="00353175">
              <w:rPr>
                <w:bCs/>
                <w:color w:val="22272F"/>
                <w:shd w:val="clear" w:color="auto" w:fill="FFFFFF"/>
              </w:rPr>
              <w:t xml:space="preserve">Постановление Правительства РФ от </w:t>
            </w:r>
            <w:r w:rsidR="008A7C92">
              <w:rPr>
                <w:bCs/>
                <w:color w:val="22272F"/>
                <w:shd w:val="clear" w:color="auto" w:fill="FFFFFF"/>
              </w:rPr>
              <w:t>10</w:t>
            </w:r>
            <w:r w:rsidRPr="00353175">
              <w:rPr>
                <w:bCs/>
                <w:color w:val="22272F"/>
                <w:shd w:val="clear" w:color="auto" w:fill="FFFFFF"/>
              </w:rPr>
              <w:t>.0</w:t>
            </w:r>
            <w:r w:rsidR="008A7C92">
              <w:rPr>
                <w:bCs/>
                <w:color w:val="22272F"/>
                <w:shd w:val="clear" w:color="auto" w:fill="FFFFFF"/>
              </w:rPr>
              <w:t>3</w:t>
            </w:r>
            <w:r w:rsidRPr="00353175">
              <w:rPr>
                <w:bCs/>
                <w:color w:val="22272F"/>
                <w:shd w:val="clear" w:color="auto" w:fill="FFFFFF"/>
              </w:rPr>
              <w:t>.20</w:t>
            </w:r>
            <w:r w:rsidR="008A7C92">
              <w:rPr>
                <w:bCs/>
                <w:color w:val="22272F"/>
                <w:shd w:val="clear" w:color="auto" w:fill="FFFFFF"/>
              </w:rPr>
              <w:t>22</w:t>
            </w:r>
            <w:r w:rsidRPr="00353175">
              <w:rPr>
                <w:bCs/>
                <w:color w:val="22272F"/>
                <w:shd w:val="clear" w:color="auto" w:fill="FFFFFF"/>
              </w:rPr>
              <w:t> г. № </w:t>
            </w:r>
            <w:r w:rsidR="008A7C92">
              <w:rPr>
                <w:bCs/>
                <w:color w:val="22272F"/>
                <w:shd w:val="clear" w:color="auto" w:fill="FFFFFF"/>
              </w:rPr>
              <w:t>33</w:t>
            </w:r>
            <w:r w:rsidRPr="00353175">
              <w:rPr>
                <w:bCs/>
                <w:color w:val="22272F"/>
                <w:shd w:val="clear" w:color="auto" w:fill="FFFFFF"/>
              </w:rPr>
              <w:t>6 «</w:t>
            </w:r>
            <w:r w:rsidR="008A7C92">
              <w:rPr>
                <w:bCs/>
                <w:color w:val="22272F"/>
                <w:shd w:val="clear" w:color="auto" w:fill="FFFFFF"/>
              </w:rPr>
              <w:t>Об особенностях организации и осуществления государственного контроля (надзора), муниципального контроля»</w:t>
            </w:r>
          </w:p>
          <w:p w:rsidR="008A7C92" w:rsidRPr="00353175" w:rsidRDefault="008A7C92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AF6010" w:rsidRPr="00AF6010" w:rsidRDefault="006F267B" w:rsidP="00C30E7B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>Письмо Саратовской межрайонной природоохранной прокуратуры от 21.04.2026 г. № 02-03-2026/487-26-20000211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6F267B" w:rsidP="006F267B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июнь</w:t>
            </w:r>
            <w:r w:rsidR="00C5146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август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 w:rsidR="00C30E7B">
              <w:rPr>
                <w:sz w:val="22"/>
                <w:szCs w:val="22"/>
              </w:rPr>
              <w:t xml:space="preserve">6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07E92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Разработка </w:t>
            </w:r>
            <w:r w:rsidR="00C5146B"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нормативно-правового акта в соответствии с требованиями действующего законодательства</w:t>
            </w:r>
            <w:r w:rsidR="00C5146B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E2672B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 xml:space="preserve">Дополнительных расходов </w:t>
            </w:r>
            <w:r w:rsidR="00D571C3" w:rsidRPr="00C07E92">
              <w:rPr>
                <w:bCs/>
                <w:color w:val="000000"/>
                <w:kern w:val="1"/>
                <w:sz w:val="22"/>
                <w:szCs w:val="22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C07E92" w:rsidRDefault="00D571C3" w:rsidP="00AF6010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C07E92">
              <w:rPr>
                <w:bCs/>
                <w:color w:val="000000"/>
                <w:kern w:val="1"/>
                <w:sz w:val="22"/>
                <w:szCs w:val="22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  <w:bookmarkStart w:id="0" w:name="_GoBack"/>
      <w:bookmarkEnd w:id="0"/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248CB"/>
    <w:rsid w:val="00050CB3"/>
    <w:rsid w:val="0007005E"/>
    <w:rsid w:val="0007167F"/>
    <w:rsid w:val="000F0304"/>
    <w:rsid w:val="00132FBF"/>
    <w:rsid w:val="00163A9B"/>
    <w:rsid w:val="001A3278"/>
    <w:rsid w:val="001B4660"/>
    <w:rsid w:val="001C24C8"/>
    <w:rsid w:val="001F2FBF"/>
    <w:rsid w:val="0023075F"/>
    <w:rsid w:val="00232A2D"/>
    <w:rsid w:val="00293571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018DB"/>
    <w:rsid w:val="00662AC8"/>
    <w:rsid w:val="00665E37"/>
    <w:rsid w:val="006F267B"/>
    <w:rsid w:val="0070198C"/>
    <w:rsid w:val="007500F2"/>
    <w:rsid w:val="00765B1C"/>
    <w:rsid w:val="007C6E40"/>
    <w:rsid w:val="007E6995"/>
    <w:rsid w:val="00833210"/>
    <w:rsid w:val="008540DE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A64FD"/>
    <w:rsid w:val="00BF1C13"/>
    <w:rsid w:val="00BF5903"/>
    <w:rsid w:val="00C07E92"/>
    <w:rsid w:val="00C3002D"/>
    <w:rsid w:val="00C30E7B"/>
    <w:rsid w:val="00C5146B"/>
    <w:rsid w:val="00CA42A4"/>
    <w:rsid w:val="00CB5EBC"/>
    <w:rsid w:val="00CC4150"/>
    <w:rsid w:val="00CE1D0B"/>
    <w:rsid w:val="00CF75C3"/>
    <w:rsid w:val="00D571C3"/>
    <w:rsid w:val="00DC4DB0"/>
    <w:rsid w:val="00E07D2E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2026-04-06T05:49:00Z</cp:lastPrinted>
  <dcterms:created xsi:type="dcterms:W3CDTF">2026-05-22T09:46:00Z</dcterms:created>
  <dcterms:modified xsi:type="dcterms:W3CDTF">2026-05-22T10:17:00Z</dcterms:modified>
</cp:coreProperties>
</file>