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6" w:rsidRPr="000F6C9C" w:rsidRDefault="00587424" w:rsidP="00230DCD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</w:t>
      </w:r>
      <w:r w:rsidR="00F16E8D" w:rsidRPr="000F6C9C">
        <w:rPr>
          <w:color w:val="000000" w:themeColor="text1"/>
        </w:rPr>
        <w:t xml:space="preserve">вности </w:t>
      </w:r>
      <w:r w:rsidR="00237C49" w:rsidRPr="000F6C9C">
        <w:rPr>
          <w:color w:val="000000" w:themeColor="text1"/>
        </w:rPr>
        <w:t xml:space="preserve">налоговых расходов </w:t>
      </w:r>
      <w:r w:rsidR="00BC11B2" w:rsidRPr="000F6C9C">
        <w:rPr>
          <w:color w:val="000000" w:themeColor="text1"/>
        </w:rPr>
        <w:t xml:space="preserve">по </w:t>
      </w:r>
      <w:r w:rsidR="009E174B" w:rsidRPr="000F6C9C">
        <w:rPr>
          <w:color w:val="000000" w:themeColor="text1"/>
        </w:rPr>
        <w:t>местным налогам</w:t>
      </w:r>
      <w:r w:rsidR="00F16E8D" w:rsidRPr="000F6C9C">
        <w:rPr>
          <w:color w:val="000000" w:themeColor="text1"/>
        </w:rPr>
        <w:t xml:space="preserve"> за 20</w:t>
      </w:r>
      <w:r w:rsidR="008A6542">
        <w:rPr>
          <w:color w:val="000000" w:themeColor="text1"/>
        </w:rPr>
        <w:t>2</w:t>
      </w:r>
      <w:r w:rsidR="00EA1C7E">
        <w:rPr>
          <w:color w:val="000000" w:themeColor="text1"/>
        </w:rPr>
        <w:t>2</w:t>
      </w:r>
      <w:r w:rsidR="00F16E8D" w:rsidRPr="000F6C9C">
        <w:rPr>
          <w:color w:val="000000" w:themeColor="text1"/>
        </w:rPr>
        <w:t xml:space="preserve"> год </w:t>
      </w:r>
      <w:r w:rsidR="00237C49" w:rsidRPr="000F6C9C">
        <w:rPr>
          <w:color w:val="000000" w:themeColor="text1"/>
        </w:rPr>
        <w:t xml:space="preserve">по муниципальному образованию город </w:t>
      </w:r>
      <w:r w:rsidR="001771F6" w:rsidRPr="000F6C9C">
        <w:rPr>
          <w:color w:val="000000" w:themeColor="text1"/>
        </w:rPr>
        <w:t>Вольск</w:t>
      </w:r>
    </w:p>
    <w:p w:rsidR="00BD5DD4" w:rsidRPr="000F6C9C" w:rsidRDefault="001771F6" w:rsidP="00230DCD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0F6C9C">
        <w:rPr>
          <w:color w:val="000000" w:themeColor="text1"/>
        </w:rPr>
        <w:t>Вольского</w:t>
      </w:r>
      <w:r w:rsidR="00237C49" w:rsidRPr="000F6C9C">
        <w:rPr>
          <w:color w:val="000000" w:themeColor="text1"/>
        </w:rPr>
        <w:t xml:space="preserve"> муниципального района Саратовской области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с основными положениями постановления Правительства Российской Федерации от 22 июня 2019 года№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0F6C9C">
        <w:rPr>
          <w:bCs/>
        </w:rPr>
        <w:t xml:space="preserve">постановления администрации </w:t>
      </w:r>
      <w:r w:rsidR="001771F6" w:rsidRPr="000F6C9C">
        <w:rPr>
          <w:bCs/>
        </w:rPr>
        <w:t>Вольского</w:t>
      </w:r>
      <w:r w:rsidR="00237C49" w:rsidRPr="000F6C9C">
        <w:rPr>
          <w:bCs/>
        </w:rPr>
        <w:t xml:space="preserve"> муниципального района от </w:t>
      </w:r>
      <w:r w:rsidR="001771F6" w:rsidRPr="000F6C9C">
        <w:rPr>
          <w:bCs/>
        </w:rPr>
        <w:t>1</w:t>
      </w:r>
      <w:r w:rsidR="00237C49" w:rsidRPr="000F6C9C">
        <w:rPr>
          <w:bCs/>
        </w:rPr>
        <w:t xml:space="preserve">0 октября 2019 года № </w:t>
      </w:r>
      <w:r w:rsidR="001771F6" w:rsidRPr="000F6C9C">
        <w:rPr>
          <w:bCs/>
        </w:rPr>
        <w:t>2310</w:t>
      </w:r>
      <w:r w:rsidR="00237C49" w:rsidRPr="000F6C9C">
        <w:rPr>
          <w:bCs/>
        </w:rPr>
        <w:t xml:space="preserve"> «Об утверждении порядка </w:t>
      </w:r>
      <w:r w:rsidR="001771F6" w:rsidRPr="000F6C9C">
        <w:rPr>
          <w:bCs/>
        </w:rPr>
        <w:t xml:space="preserve">проведения оценки </w:t>
      </w:r>
      <w:r w:rsidR="00237C49" w:rsidRPr="000F6C9C">
        <w:rPr>
          <w:bCs/>
        </w:rPr>
        <w:t xml:space="preserve">налоговых расходов </w:t>
      </w:r>
      <w:r w:rsidR="001771F6" w:rsidRPr="000F6C9C">
        <w:rPr>
          <w:bCs/>
        </w:rPr>
        <w:t xml:space="preserve"> по местным налогам </w:t>
      </w:r>
      <w:r w:rsidR="00237C49" w:rsidRPr="000F6C9C">
        <w:rPr>
          <w:bCs/>
        </w:rPr>
        <w:t xml:space="preserve">муниципального образования город </w:t>
      </w:r>
      <w:r w:rsidR="001771F6" w:rsidRPr="000F6C9C">
        <w:rPr>
          <w:bCs/>
        </w:rPr>
        <w:t>В</w:t>
      </w:r>
      <w:r w:rsidR="00237C49" w:rsidRPr="000F6C9C">
        <w:rPr>
          <w:bCs/>
        </w:rPr>
        <w:t>о</w:t>
      </w:r>
      <w:r w:rsidR="001771F6" w:rsidRPr="000F6C9C">
        <w:rPr>
          <w:bCs/>
        </w:rPr>
        <w:t>льск Вольского муниципального района</w:t>
      </w:r>
      <w:r w:rsidR="00237C49" w:rsidRPr="000F6C9C">
        <w:rPr>
          <w:bCs/>
        </w:rPr>
        <w:t>»</w:t>
      </w:r>
      <w:r w:rsidR="004D3A22" w:rsidRPr="000F6C9C">
        <w:rPr>
          <w:color w:val="000000" w:themeColor="text1"/>
        </w:rPr>
        <w:t>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МО город </w:t>
      </w:r>
      <w:r>
        <w:rPr>
          <w:color w:val="auto"/>
        </w:rPr>
        <w:t>Вольск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0F6C9C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ии город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Вольск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: 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е, технические и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стимулирующие.</w:t>
      </w: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0F6C9C">
        <w:t>В 20</w:t>
      </w:r>
      <w:r w:rsidR="008A6542">
        <w:t>2</w:t>
      </w:r>
      <w:r w:rsidR="00EA1C7E">
        <w:t>2</w:t>
      </w:r>
      <w:r w:rsidRPr="000F6C9C">
        <w:t xml:space="preserve"> году на территории г</w:t>
      </w:r>
      <w:r w:rsidRPr="000F6C9C">
        <w:rPr>
          <w:spacing w:val="1"/>
        </w:rPr>
        <w:t>о</w:t>
      </w:r>
      <w:r w:rsidRPr="000F6C9C">
        <w:t>род</w:t>
      </w:r>
      <w:r w:rsidRPr="000F6C9C">
        <w:rPr>
          <w:w w:val="101"/>
        </w:rPr>
        <w:t xml:space="preserve">а </w:t>
      </w:r>
      <w:r w:rsidRPr="000F6C9C">
        <w:rPr>
          <w:spacing w:val="-1"/>
        </w:rPr>
        <w:t>Вольск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D7442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Решением Совета муниципального образования город </w:t>
      </w:r>
      <w:r w:rsidR="00DD2469" w:rsidRPr="000F6C9C">
        <w:rPr>
          <w:color w:val="000000" w:themeColor="text1"/>
        </w:rPr>
        <w:t>Вольск</w:t>
      </w:r>
      <w:r w:rsidRPr="000F6C9C">
        <w:rPr>
          <w:color w:val="000000" w:themeColor="text1"/>
        </w:rPr>
        <w:t xml:space="preserve"> от </w:t>
      </w:r>
      <w:r w:rsidR="00DD2469" w:rsidRPr="000F6C9C">
        <w:rPr>
          <w:color w:val="000000" w:themeColor="text1"/>
        </w:rPr>
        <w:t>1</w:t>
      </w:r>
      <w:r w:rsidRPr="000F6C9C">
        <w:rPr>
          <w:color w:val="000000" w:themeColor="text1"/>
        </w:rPr>
        <w:t xml:space="preserve">6 </w:t>
      </w:r>
      <w:r w:rsidR="00DD2469" w:rsidRPr="000F6C9C">
        <w:rPr>
          <w:color w:val="000000" w:themeColor="text1"/>
        </w:rPr>
        <w:t>ноября</w:t>
      </w:r>
      <w:r w:rsidRPr="000F6C9C">
        <w:rPr>
          <w:color w:val="000000" w:themeColor="text1"/>
        </w:rPr>
        <w:t xml:space="preserve"> 201</w:t>
      </w:r>
      <w:r w:rsidR="00DD2469" w:rsidRPr="000F6C9C">
        <w:rPr>
          <w:color w:val="000000" w:themeColor="text1"/>
        </w:rPr>
        <w:t>8</w:t>
      </w:r>
      <w:r w:rsidRPr="000F6C9C">
        <w:rPr>
          <w:color w:val="000000" w:themeColor="text1"/>
        </w:rPr>
        <w:t xml:space="preserve"> года № 5</w:t>
      </w:r>
      <w:r w:rsidR="00DD2469" w:rsidRPr="000F6C9C">
        <w:rPr>
          <w:color w:val="000000" w:themeColor="text1"/>
        </w:rPr>
        <w:t>/4-21 «О земельном налога на территории муниципального образования город Вольск Вольского муниципального района Саратовской области</w:t>
      </w:r>
      <w:r w:rsidRPr="000F6C9C">
        <w:rPr>
          <w:color w:val="000000" w:themeColor="text1"/>
        </w:rPr>
        <w:t xml:space="preserve">» </w:t>
      </w:r>
      <w:r w:rsidR="004D23AF" w:rsidRPr="000F6C9C">
        <w:rPr>
          <w:color w:val="000000" w:themeColor="text1"/>
        </w:rPr>
        <w:t>(далее – решение о земельном налоге)</w:t>
      </w:r>
      <w:r w:rsidRPr="000F6C9C">
        <w:rPr>
          <w:color w:val="000000" w:themeColor="text1"/>
        </w:rPr>
        <w:t xml:space="preserve"> налоговые льготы по земельному налогу установлены для </w:t>
      </w:r>
      <w:r w:rsidR="009A0643">
        <w:rPr>
          <w:color w:val="auto"/>
        </w:rPr>
        <w:t>8</w:t>
      </w:r>
      <w:r w:rsidRPr="000F6C9C">
        <w:rPr>
          <w:color w:val="000000" w:themeColor="text1"/>
        </w:rPr>
        <w:t xml:space="preserve"> категорий налогоплательщиков, </w:t>
      </w:r>
      <w:r w:rsidR="00C8366D" w:rsidRPr="000F6C9C">
        <w:rPr>
          <w:color w:val="auto"/>
        </w:rPr>
        <w:t>4</w:t>
      </w:r>
      <w:r w:rsidRPr="000F6C9C">
        <w:rPr>
          <w:color w:val="000000" w:themeColor="text1"/>
        </w:rPr>
        <w:t xml:space="preserve"> из которых – физические лица.</w:t>
      </w:r>
    </w:p>
    <w:p w:rsidR="00D7442A" w:rsidRPr="000F6C9C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решением о земельном налоге к социальным налоговым расходам относятся следующие льготы:</w:t>
      </w:r>
    </w:p>
    <w:p w:rsidR="00C8366D" w:rsidRPr="000F6C9C" w:rsidRDefault="00311A50" w:rsidP="00311A50">
      <w:pPr>
        <w:pStyle w:val="af1"/>
        <w:numPr>
          <w:ilvl w:val="0"/>
          <w:numId w:val="5"/>
        </w:num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 w:rsidR="00C8366D"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</w:p>
    <w:p w:rsidR="00311A50" w:rsidRPr="000F6C9C" w:rsidRDefault="00311A50" w:rsidP="00C8366D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sz w:val="28"/>
          <w:szCs w:val="28"/>
        </w:rPr>
        <w:t>физическим лицам и организациям:</w:t>
      </w:r>
    </w:p>
    <w:p w:rsidR="00311A50" w:rsidRPr="000F6C9C" w:rsidRDefault="00311A50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главой 31 Налогового кодекса Российской Федерации;</w:t>
      </w:r>
    </w:p>
    <w:p w:rsidR="00311A50" w:rsidRPr="000F6C9C" w:rsidRDefault="00C8366D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11A50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изическим лицам:</w:t>
      </w:r>
    </w:p>
    <w:p w:rsidR="00311A50" w:rsidRPr="000F6C9C" w:rsidRDefault="00311A50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366D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имеющим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 льготы в соответствии с Федеральным законом от 12 января 1995 года N 5-ФЗ "О ветеранах", указанные в статьях 14, 15, 17, 18, 19, 21</w:t>
      </w:r>
      <w:r w:rsidR="00C8366D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366D" w:rsidRDefault="00C8366D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имеющим право на льготы в соответствии с Указом Президента РФ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</w:t>
      </w:r>
      <w:r w:rsidR="009A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Второй мировой войны";</w:t>
      </w:r>
    </w:p>
    <w:p w:rsidR="00C8366D" w:rsidRPr="000F6C9C" w:rsidRDefault="00C8366D" w:rsidP="00C8366D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размере 50%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суммы налога</w:t>
      </w:r>
    </w:p>
    <w:p w:rsidR="00C8366D" w:rsidRPr="000F6C9C" w:rsidRDefault="00C8366D" w:rsidP="00C8366D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- гражданам, имеющим трех и более детей, семьи которых признаются многодетными в соответствии с Законом Саратовской области "О мерах социальной поддержки многодетных семей в Саратовской области", в отношении одного земельного участка, предоставленного в собственность под объекты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индивидуального жилищного строительства, дачного строительства, ведения садоводства или огородничества, размер которого не превышает максимальной нормы предоставления земельных участков"</w:t>
      </w:r>
    </w:p>
    <w:p w:rsidR="00836721" w:rsidRPr="000F6C9C" w:rsidRDefault="00836721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E70AD" w:rsidRPr="000F6C9C" w:rsidRDefault="00284A4A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 </w:t>
      </w:r>
      <w:r w:rsidR="00D5372E"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техническим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налоговым расходам относятся следующие льготы:</w:t>
      </w:r>
    </w:p>
    <w:p w:rsidR="00284A4A" w:rsidRPr="000F6C9C" w:rsidRDefault="00284A4A" w:rsidP="00C83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размере 100% от суммы налога </w:t>
      </w:r>
      <w:r w:rsidR="001E7C86"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0D2AE8" w:rsidRPr="000F6C9C">
        <w:rPr>
          <w:rFonts w:ascii="Times New Roman" w:hAnsi="Times New Roman" w:cs="Times New Roman"/>
          <w:sz w:val="28"/>
          <w:szCs w:val="28"/>
        </w:rPr>
        <w:t>(</w:t>
      </w:r>
      <w:r w:rsidR="00C8366D" w:rsidRPr="000F6C9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</w:t>
      </w:r>
      <w:r w:rsidR="000D2AE8" w:rsidRPr="000F6C9C">
        <w:rPr>
          <w:rFonts w:ascii="Times New Roman" w:hAnsi="Times New Roman" w:cs="Times New Roman"/>
          <w:sz w:val="28"/>
          <w:szCs w:val="28"/>
        </w:rPr>
        <w:t>учреждениям</w:t>
      </w:r>
      <w:r w:rsidR="00C8366D" w:rsidRPr="000F6C9C">
        <w:rPr>
          <w:rFonts w:ascii="Times New Roman" w:hAnsi="Times New Roman" w:cs="Times New Roman"/>
          <w:sz w:val="28"/>
          <w:szCs w:val="28"/>
        </w:rPr>
        <w:t>)</w:t>
      </w:r>
      <w:r w:rsidR="000D2AE8" w:rsidRPr="000F6C9C">
        <w:rPr>
          <w:rFonts w:ascii="Times New Roman" w:hAnsi="Times New Roman" w:cs="Times New Roman"/>
          <w:sz w:val="28"/>
          <w:szCs w:val="28"/>
        </w:rPr>
        <w:t>, финансируемым за счет сре</w:t>
      </w:r>
      <w:r w:rsidR="006D6A03" w:rsidRPr="000F6C9C">
        <w:rPr>
          <w:rFonts w:ascii="Times New Roman" w:hAnsi="Times New Roman" w:cs="Times New Roman"/>
          <w:sz w:val="28"/>
          <w:szCs w:val="28"/>
        </w:rPr>
        <w:t>дств бюджетов различных уровней</w:t>
      </w: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D5372E" w:rsidRPr="000F6C9C" w:rsidRDefault="00D5372E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стимулирующим налоговым расходам относятся следующие льготы:</w:t>
      </w:r>
    </w:p>
    <w:p w:rsidR="00C8366D" w:rsidRPr="000F6C9C" w:rsidRDefault="00C8366D" w:rsidP="006D6A0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</w:t>
      </w:r>
      <w:r w:rsidR="00284A4A" w:rsidRPr="000F6C9C">
        <w:rPr>
          <w:rFonts w:ascii="Times New Roman" w:hAnsi="Times New Roman" w:cs="Times New Roman"/>
          <w:sz w:val="28"/>
          <w:szCs w:val="28"/>
        </w:rPr>
        <w:t xml:space="preserve">0% от суммы налога налогоплательщикам </w:t>
      </w:r>
    </w:p>
    <w:p w:rsidR="006D6A03" w:rsidRPr="000F6C9C" w:rsidRDefault="006D6A03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        - предприятиям-инвесторам, зарегистрированным на территории муниципального образования город Вольск и заключившим инвестиционный договор с уполномоченным органом (комитет инвестиционной политики и имущественных отношений Саратовской области) на время действия инвестиционного договора, а также организации-инвесторы, являющиеся стороной специального инвестиционного контракта, в течение срока действия специального инвестиционного контракта;</w:t>
      </w:r>
    </w:p>
    <w:p w:rsidR="006D6A03" w:rsidRDefault="006D6A03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   - организациям, являющимся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и (или) областного бюджета, в отношении земельных участков, выделенных под строительство (реконструкцию) указанн</w:t>
      </w:r>
      <w:r w:rsidR="00E0211E">
        <w:rPr>
          <w:rFonts w:ascii="Times New Roman" w:hAnsi="Times New Roman" w:cs="Times New Roman"/>
          <w:sz w:val="28"/>
          <w:szCs w:val="28"/>
        </w:rPr>
        <w:t>ых объектов;</w:t>
      </w:r>
    </w:p>
    <w:p w:rsidR="00E0211E" w:rsidRPr="000F6C9C" w:rsidRDefault="00E0211E" w:rsidP="00E0211E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отношении земельных участков, занятых приютами для животных.</w:t>
      </w:r>
    </w:p>
    <w:p w:rsidR="00E0211E" w:rsidRPr="000F6C9C" w:rsidRDefault="00E0211E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1CF" w:rsidRPr="000F6C9C" w:rsidRDefault="009F11CF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9C">
        <w:rPr>
          <w:rFonts w:ascii="Times New Roman" w:hAnsi="Times New Roman" w:cs="Times New Roman"/>
          <w:b/>
          <w:sz w:val="28"/>
          <w:szCs w:val="28"/>
        </w:rPr>
        <w:t>По налогу на имущество</w:t>
      </w:r>
    </w:p>
    <w:p w:rsidR="00367BE1" w:rsidRPr="000F6C9C" w:rsidRDefault="00367BE1" w:rsidP="00367BE1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Решением Совета муниципального образования город Вольск от 24 ноября 2017 года № 49/3-244 «Об установлении налога на имущество физических лиц и налоговых льгот на  территории муниципального образования город Вольск» (далее – решение о налоге на имущество) налоговые льготы по налогу на имущество установлены для </w:t>
      </w:r>
      <w:r w:rsidRPr="000F6C9C">
        <w:rPr>
          <w:color w:val="auto"/>
        </w:rPr>
        <w:t>4</w:t>
      </w:r>
      <w:r w:rsidRPr="000F6C9C">
        <w:rPr>
          <w:color w:val="000000" w:themeColor="text1"/>
        </w:rPr>
        <w:t xml:space="preserve"> категорий налогоплательщиков.</w:t>
      </w:r>
    </w:p>
    <w:p w:rsidR="00367BE1" w:rsidRPr="000F6C9C" w:rsidRDefault="00367BE1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решением о налоге на имущество к социальным налоговым расходам относятся следующие льготы:</w:t>
      </w:r>
    </w:p>
    <w:p w:rsidR="00367BE1" w:rsidRPr="000F6C9C" w:rsidRDefault="008D2800" w:rsidP="00367BE1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-  в соответствии со статьей 407 главы 32 Налогового Кодекса РФ:</w:t>
      </w:r>
    </w:p>
    <w:p w:rsidR="008D2800" w:rsidRPr="000F6C9C" w:rsidRDefault="008D2800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лицам, имеющим звание «Почетный гражданин Земли Вольской»:</w:t>
      </w:r>
    </w:p>
    <w:p w:rsidR="008D2800" w:rsidRPr="000F6C9C" w:rsidRDefault="008D2800" w:rsidP="008D2800">
      <w:pPr>
        <w:spacing w:before="3"/>
        <w:ind w:left="1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лицам, принимавшим участие в боевых действиях и имеющие удостоверение участника боевых действий, за исключением категорий лиц, предусмотренных ст. 407 НК РФ:</w:t>
      </w:r>
    </w:p>
    <w:p w:rsidR="008D2800" w:rsidRDefault="008D2800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участке, предоставленном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</w:t>
      </w:r>
    </w:p>
    <w:p w:rsidR="000F6C9C" w:rsidRDefault="000F6C9C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C9C" w:rsidRDefault="000F6C9C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C9C" w:rsidRDefault="000F6C9C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BE1" w:rsidRPr="000F6C9C" w:rsidRDefault="00367BE1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муниципального образования город </w:t>
      </w:r>
      <w:r w:rsidR="00836721" w:rsidRPr="000F6C9C">
        <w:rPr>
          <w:b/>
          <w:bCs/>
        </w:rPr>
        <w:t>Вольск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ayout w:type="fixed"/>
        <w:tblLook w:val="04A0"/>
      </w:tblPr>
      <w:tblGrid>
        <w:gridCol w:w="5211"/>
        <w:gridCol w:w="2552"/>
        <w:gridCol w:w="2652"/>
      </w:tblGrid>
      <w:tr w:rsidR="00EA0FA4" w:rsidRPr="000F6C9C" w:rsidTr="0019301C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6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EA0FA4" w:rsidRPr="000F6C9C" w:rsidTr="0019301C">
        <w:tc>
          <w:tcPr>
            <w:tcW w:w="5211" w:type="dxa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Освобождение от уплаты земельного налога: </w:t>
            </w:r>
          </w:p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 xml:space="preserve">- ветеранов и инвалидов Великой Отечественной войны </w:t>
            </w:r>
            <w:r w:rsidRPr="000F6C9C">
              <w:rPr>
                <w:bCs/>
              </w:rPr>
              <w:t>(льгота в размере 100%),</w:t>
            </w:r>
          </w:p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 xml:space="preserve">- многодетных семей </w:t>
            </w:r>
            <w:r w:rsidRPr="000F6C9C">
              <w:rPr>
                <w:bCs/>
              </w:rPr>
              <w:t xml:space="preserve">(льгота в размере </w:t>
            </w:r>
            <w:r w:rsidR="00CE7347" w:rsidRPr="000F6C9C">
              <w:rPr>
                <w:bCs/>
              </w:rPr>
              <w:t>5</w:t>
            </w:r>
            <w:r w:rsidRPr="000F6C9C">
              <w:rPr>
                <w:bCs/>
              </w:rPr>
              <w:t>0%),</w:t>
            </w:r>
          </w:p>
          <w:p w:rsidR="00EA0FA4" w:rsidRPr="000F6C9C" w:rsidRDefault="00EA0FA4" w:rsidP="00CE734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налогоплательщикам (кроме бюджетных организаций) (льгота в размере 100%).</w:t>
            </w:r>
          </w:p>
          <w:p w:rsidR="005C02A6" w:rsidRPr="000F6C9C" w:rsidRDefault="005C02A6" w:rsidP="00CE734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Освобождение от уплаты налога на имущество: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Почетным гражданам Земли Вольской (льгота в размере 100%),: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лицам, принимавшим участие в боевых действиях (льгота в размере 100%),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- </w:t>
            </w:r>
            <w:r w:rsidRPr="000F6C9C">
              <w:t xml:space="preserve">многодетным семьям </w:t>
            </w:r>
            <w:r w:rsidRPr="000F6C9C">
              <w:rPr>
                <w:bCs/>
              </w:rPr>
              <w:t>(льгота в размере 100%),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пенсионерам (льгота в размере 100%)</w:t>
            </w:r>
          </w:p>
        </w:tc>
        <w:tc>
          <w:tcPr>
            <w:tcW w:w="2552" w:type="dxa"/>
          </w:tcPr>
          <w:p w:rsidR="00EA0FA4" w:rsidRPr="000F6C9C" w:rsidRDefault="00EA0FA4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Стратегия социально-экономического развития </w:t>
            </w:r>
            <w:r w:rsidR="005C02A6" w:rsidRPr="000F6C9C">
              <w:rPr>
                <w:bCs/>
              </w:rPr>
              <w:t>Вольского</w:t>
            </w:r>
            <w:r w:rsidRPr="000F6C9C">
              <w:rPr>
                <w:bCs/>
              </w:rPr>
              <w:t xml:space="preserve"> муниципального района до 2030 года</w:t>
            </w:r>
          </w:p>
        </w:tc>
        <w:tc>
          <w:tcPr>
            <w:tcW w:w="2652" w:type="dxa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0F6C9C">
              <w:t>- Приоритет: Сохранение, воспроизводство и развитие человеческого потенциала района.</w:t>
            </w:r>
          </w:p>
          <w:p w:rsidR="00EA0FA4" w:rsidRPr="000F6C9C" w:rsidRDefault="00EA0FA4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- Приоритет: Повышение качества жизни населения </w:t>
            </w:r>
            <w:r w:rsidR="005C02A6" w:rsidRPr="000F6C9C">
              <w:rPr>
                <w:bCs/>
              </w:rPr>
              <w:t>Вольского</w:t>
            </w:r>
            <w:r w:rsidRPr="000F6C9C">
              <w:rPr>
                <w:bCs/>
              </w:rPr>
              <w:t xml:space="preserve"> муниципального района.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EA0FA4" w:rsidRPr="000F6C9C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12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571</w:t>
      </w:r>
      <w:r w:rsidR="00591432" w:rsidRPr="000F6C9C">
        <w:rPr>
          <w:rFonts w:ascii="Times New Roman" w:hAnsi="Times New Roman" w:cs="Times New Roman"/>
          <w:color w:val="auto"/>
          <w:sz w:val="28"/>
          <w:szCs w:val="28"/>
        </w:rPr>
        <w:t>,0 тыс.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рублей, или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103,5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51,2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Pr="000F6C9C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составило </w:t>
      </w:r>
      <w:r w:rsidR="00E1285E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E1285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2,1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 и 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3,2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 Данные показатели свидетельствуют о востребованности указанного налогового расхода.</w:t>
      </w:r>
    </w:p>
    <w:p w:rsidR="00196F22" w:rsidRPr="000F6C9C" w:rsidRDefault="00196F22" w:rsidP="00196F2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по налогу на имущество физических лиц за 20</w:t>
      </w:r>
      <w:r w:rsidR="0087588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CF067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1610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тыс.рублей, или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107,8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47,7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196F22" w:rsidRPr="000F6C9C" w:rsidRDefault="00196F22" w:rsidP="00196F2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1</w:t>
      </w:r>
      <w:r w:rsidR="0016739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656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103,9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1673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 и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 Данные показатели свидетельствуют о востребованности указанного налогового расхода.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города </w:t>
      </w:r>
      <w:r w:rsidR="00A77DC5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, так и </w:t>
      </w:r>
      <w:r w:rsidR="00A77DC5" w:rsidRPr="000F6C9C">
        <w:rPr>
          <w:rStyle w:val="FontStyle38"/>
          <w:sz w:val="28"/>
          <w:szCs w:val="28"/>
        </w:rPr>
        <w:t>Вольского</w:t>
      </w:r>
      <w:r w:rsidRPr="000F6C9C">
        <w:rPr>
          <w:rStyle w:val="FontStyle38"/>
          <w:sz w:val="28"/>
          <w:szCs w:val="28"/>
        </w:rPr>
        <w:t xml:space="preserve"> муниципального района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F810BE" w:rsidRDefault="00F810BE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2022 год – 873,95 рублей</w:t>
      </w:r>
    </w:p>
    <w:p w:rsidR="00D25196" w:rsidRDefault="00F810BE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96">
        <w:rPr>
          <w:rFonts w:ascii="Times New Roman" w:hAnsi="Times New Roman" w:cs="Times New Roman"/>
          <w:sz w:val="28"/>
          <w:szCs w:val="28"/>
        </w:rPr>
        <w:t>за 2021 год – 851,61 рублей</w:t>
      </w:r>
    </w:p>
    <w:p w:rsidR="002310B6" w:rsidRPr="000F6C9C" w:rsidRDefault="002310B6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– 862,5 рублей</w:t>
      </w:r>
    </w:p>
    <w:p w:rsidR="007B5832" w:rsidRPr="000F6C9C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- за 2019 год – </w:t>
      </w:r>
      <w:r w:rsidR="00B351B6" w:rsidRPr="000F6C9C">
        <w:rPr>
          <w:rFonts w:ascii="Times New Roman" w:hAnsi="Times New Roman" w:cs="Times New Roman"/>
          <w:sz w:val="28"/>
          <w:szCs w:val="28"/>
        </w:rPr>
        <w:t>884,5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7B5832" w:rsidRPr="000F6C9C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- за 2018 год – </w:t>
      </w:r>
      <w:r w:rsidR="00B351B6" w:rsidRPr="000F6C9C">
        <w:rPr>
          <w:rFonts w:ascii="Times New Roman" w:hAnsi="Times New Roman" w:cs="Times New Roman"/>
          <w:sz w:val="28"/>
          <w:szCs w:val="28"/>
        </w:rPr>
        <w:t>700,7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51B6" w:rsidRDefault="00B351B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F810BE" w:rsidRDefault="00F810BE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2022 год – 850,17 рублей</w:t>
      </w:r>
    </w:p>
    <w:p w:rsidR="00D25196" w:rsidRDefault="00D2519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2021 год – 819,19 рублей,</w:t>
      </w:r>
    </w:p>
    <w:p w:rsidR="003D49C6" w:rsidRPr="000F6C9C" w:rsidRDefault="003D49C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– 876,7 рублей,</w:t>
      </w:r>
    </w:p>
    <w:p w:rsidR="00B351B6" w:rsidRPr="000F6C9C" w:rsidRDefault="00B351B6" w:rsidP="00B351B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- за 2019 год – 716,0 рублей,</w:t>
      </w:r>
    </w:p>
    <w:p w:rsidR="00B351B6" w:rsidRPr="000F6C9C" w:rsidRDefault="00B351B6" w:rsidP="00B351B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- за 2018 год – 681,2 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 xml:space="preserve">его </w:t>
      </w:r>
      <w:r w:rsidR="00487F92" w:rsidRPr="000F6C9C">
        <w:rPr>
          <w:rFonts w:ascii="Times New Roman" w:hAnsi="Times New Roman" w:cs="Times New Roman"/>
          <w:sz w:val="28"/>
          <w:szCs w:val="28"/>
        </w:rPr>
        <w:lastRenderedPageBreak/>
        <w:t>положительной результативности.</w:t>
      </w:r>
    </w:p>
    <w:p w:rsidR="00B351B6" w:rsidRPr="000F6C9C" w:rsidRDefault="00B351B6" w:rsidP="008A1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1D" w:rsidRPr="000F6C9C" w:rsidRDefault="00D6431D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муниципального образования город </w:t>
      </w:r>
      <w:r w:rsidR="00E7155B" w:rsidRPr="000F6C9C">
        <w:rPr>
          <w:b/>
          <w:bCs/>
          <w:color w:val="auto"/>
        </w:rPr>
        <w:t>Вольск</w:t>
      </w:r>
    </w:p>
    <w:p w:rsidR="00D6431D" w:rsidRPr="000F6C9C" w:rsidRDefault="00D6431D" w:rsidP="00D643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AF4B04" w:rsidRPr="000F6C9C">
        <w:rPr>
          <w:bCs/>
          <w:color w:val="000000" w:themeColor="text1"/>
          <w:sz w:val="28"/>
          <w:szCs w:val="28"/>
        </w:rPr>
        <w:t>Вольского</w:t>
      </w:r>
      <w:r w:rsidRPr="000F6C9C">
        <w:rPr>
          <w:bCs/>
          <w:color w:val="000000" w:themeColor="text1"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EA0FA4" w:rsidRPr="000F6C9C" w:rsidRDefault="00EA0FA4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 Оценка эффективности технических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AF4B04" w:rsidRPr="000F6C9C">
        <w:rPr>
          <w:b/>
          <w:bCs/>
        </w:rPr>
        <w:t>Вольск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EA0FA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2.1 Оценка целесообразности технических 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2.1.1 Соответствие технических налоговых расходов целям и задачам муниципальных программ или целям социально-экономической политики:</w:t>
      </w:r>
    </w:p>
    <w:p w:rsidR="00AF4B04" w:rsidRPr="000F6C9C" w:rsidRDefault="00AF4B0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ook w:val="04A0"/>
      </w:tblPr>
      <w:tblGrid>
        <w:gridCol w:w="3461"/>
        <w:gridCol w:w="3489"/>
        <w:gridCol w:w="3465"/>
      </w:tblGrid>
      <w:tr w:rsidR="00417399" w:rsidRPr="000F6C9C" w:rsidTr="001771F6">
        <w:tc>
          <w:tcPr>
            <w:tcW w:w="3471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17399" w:rsidRPr="000F6C9C" w:rsidTr="001771F6">
        <w:tc>
          <w:tcPr>
            <w:tcW w:w="3471" w:type="dxa"/>
          </w:tcPr>
          <w:p w:rsidR="00417399" w:rsidRPr="000F6C9C" w:rsidRDefault="001A1B66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Полное о</w:t>
            </w:r>
            <w:r w:rsidR="00417399" w:rsidRPr="000F6C9C">
              <w:rPr>
                <w:bCs/>
              </w:rPr>
              <w:t xml:space="preserve">свобождение от уплаты земельного налога: </w:t>
            </w:r>
          </w:p>
          <w:p w:rsidR="00AF4B04" w:rsidRPr="000F6C9C" w:rsidRDefault="00417399" w:rsidP="00AF4B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юридических лиц </w:t>
            </w:r>
            <w:r w:rsidR="00AA457C" w:rsidRPr="000F6C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0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муниципальные </w:t>
            </w:r>
            <w:r w:rsidR="00AF4B04" w:rsidRPr="000F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учреждениям, финансируемые за счет средств бюджетов различных уровней </w:t>
            </w:r>
          </w:p>
          <w:p w:rsidR="00417399" w:rsidRPr="000F6C9C" w:rsidRDefault="00417399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100%).</w:t>
            </w:r>
          </w:p>
        </w:tc>
        <w:tc>
          <w:tcPr>
            <w:tcW w:w="3472" w:type="dxa"/>
          </w:tcPr>
          <w:p w:rsidR="00417399" w:rsidRPr="000F6C9C" w:rsidRDefault="00417399" w:rsidP="00AF4B0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lastRenderedPageBreak/>
              <w:t xml:space="preserve">Стратегия социально-экономического развития </w:t>
            </w:r>
            <w:r w:rsidR="00AF4B04" w:rsidRPr="000F6C9C">
              <w:rPr>
                <w:bCs/>
              </w:rPr>
              <w:t xml:space="preserve">Вольского </w:t>
            </w:r>
            <w:r w:rsidRPr="000F6C9C">
              <w:rPr>
                <w:bCs/>
              </w:rPr>
              <w:t>муниципального района до 2030 года</w:t>
            </w:r>
          </w:p>
        </w:tc>
        <w:tc>
          <w:tcPr>
            <w:tcW w:w="3472" w:type="dxa"/>
          </w:tcPr>
          <w:p w:rsidR="00417399" w:rsidRPr="000F6C9C" w:rsidRDefault="00F936E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 xml:space="preserve">- Приоритет: Повышение эффективности управления, обеспечение устойчивости бюджетной системы района (Задача: Совершенствование </w:t>
            </w:r>
            <w:r w:rsidRPr="000F6C9C">
              <w:lastRenderedPageBreak/>
              <w:t>методов планирования и управления бюджетным процессом)</w:t>
            </w:r>
          </w:p>
        </w:tc>
      </w:tr>
    </w:tbl>
    <w:p w:rsidR="00CB1D1A" w:rsidRPr="000F6C9C" w:rsidRDefault="00CB1D1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19301C" w:rsidRDefault="0019301C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F4B04" w:rsidRPr="000F6C9C" w:rsidRDefault="00AF4B0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741A1" w:rsidRPr="000F6C9C" w:rsidRDefault="00BD608D" w:rsidP="00AF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3D49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10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 w:rsidR="00AF4B04" w:rsidRPr="000F6C9C">
        <w:rPr>
          <w:rFonts w:ascii="Times New Roman" w:hAnsi="Times New Roman" w:cs="Times New Roman"/>
          <w:sz w:val="28"/>
          <w:szCs w:val="28"/>
        </w:rPr>
        <w:t>и</w:t>
      </w:r>
      <w:r w:rsidRPr="000F6C9C">
        <w:rPr>
          <w:rFonts w:ascii="Times New Roman" w:hAnsi="Times New Roman" w:cs="Times New Roman"/>
          <w:sz w:val="28"/>
          <w:szCs w:val="28"/>
        </w:rPr>
        <w:t xml:space="preserve">сь </w:t>
      </w:r>
      <w:r w:rsidR="00AF4B04" w:rsidRPr="000F6C9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учреждения, финансируемые за счет средств бюджетов различных уровней </w:t>
      </w:r>
      <w:r w:rsidR="00E741A1" w:rsidRPr="000F6C9C">
        <w:rPr>
          <w:rFonts w:ascii="Times New Roman" w:hAnsi="Times New Roman" w:cs="Times New Roman"/>
          <w:bCs/>
          <w:sz w:val="28"/>
          <w:szCs w:val="28"/>
        </w:rPr>
        <w:t>с пониж</w:t>
      </w:r>
      <w:r w:rsidR="00701E6E" w:rsidRPr="000F6C9C">
        <w:rPr>
          <w:rFonts w:ascii="Times New Roman" w:hAnsi="Times New Roman" w:cs="Times New Roman"/>
          <w:bCs/>
          <w:sz w:val="28"/>
          <w:szCs w:val="28"/>
        </w:rPr>
        <w:t xml:space="preserve">енной ставкой налога в размере </w:t>
      </w:r>
      <w:r w:rsidR="00E741A1" w:rsidRPr="000F6C9C">
        <w:rPr>
          <w:rFonts w:ascii="Times New Roman" w:hAnsi="Times New Roman" w:cs="Times New Roman"/>
          <w:bCs/>
          <w:sz w:val="28"/>
          <w:szCs w:val="28"/>
        </w:rPr>
        <w:t>0%.</w:t>
      </w:r>
    </w:p>
    <w:p w:rsidR="00750900" w:rsidRPr="000F6C9C" w:rsidRDefault="00750900" w:rsidP="00750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 w:rsidR="003D49C6">
        <w:rPr>
          <w:rFonts w:ascii="Times New Roman" w:hAnsi="Times New Roman" w:cs="Times New Roman"/>
          <w:sz w:val="28"/>
          <w:szCs w:val="28"/>
        </w:rPr>
        <w:t>2</w:t>
      </w:r>
      <w:r w:rsidR="00F810BE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F4B04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данным учреждениям</w:t>
      </w:r>
      <w:r w:rsidRPr="000F6C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810BE">
        <w:rPr>
          <w:rFonts w:ascii="Times New Roman" w:hAnsi="Times New Roman" w:cs="Times New Roman"/>
          <w:sz w:val="28"/>
          <w:szCs w:val="28"/>
        </w:rPr>
        <w:t>4362</w:t>
      </w:r>
      <w:r w:rsidR="00591432" w:rsidRPr="000F6C9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F6C9C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F810BE">
        <w:rPr>
          <w:rFonts w:ascii="Times New Roman" w:hAnsi="Times New Roman" w:cs="Times New Roman"/>
          <w:sz w:val="28"/>
          <w:szCs w:val="28"/>
        </w:rPr>
        <w:t xml:space="preserve">79,5 </w:t>
      </w:r>
      <w:r w:rsidRPr="000F6C9C">
        <w:rPr>
          <w:rFonts w:ascii="Times New Roman" w:hAnsi="Times New Roman" w:cs="Times New Roman"/>
          <w:sz w:val="28"/>
          <w:szCs w:val="28"/>
        </w:rPr>
        <w:t>% к уровню 20</w:t>
      </w:r>
      <w:r w:rsidR="00D25196">
        <w:rPr>
          <w:rFonts w:ascii="Times New Roman" w:hAnsi="Times New Roman" w:cs="Times New Roman"/>
          <w:sz w:val="28"/>
          <w:szCs w:val="28"/>
        </w:rPr>
        <w:t>2</w:t>
      </w:r>
      <w:r w:rsidR="00F810BE">
        <w:rPr>
          <w:rFonts w:ascii="Times New Roman" w:hAnsi="Times New Roman" w:cs="Times New Roman"/>
          <w:sz w:val="28"/>
          <w:szCs w:val="28"/>
        </w:rPr>
        <w:t>1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</w:t>
      </w:r>
      <w:r w:rsidR="00F810BE">
        <w:rPr>
          <w:rFonts w:ascii="Times New Roman" w:hAnsi="Times New Roman" w:cs="Times New Roman"/>
          <w:sz w:val="28"/>
          <w:szCs w:val="28"/>
        </w:rPr>
        <w:t>45,4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750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Доля в общем количестве налогоплательщиков составляет </w:t>
      </w:r>
      <w:r w:rsidR="00F810BE">
        <w:rPr>
          <w:rFonts w:ascii="Times New Roman" w:hAnsi="Times New Roman" w:cs="Times New Roman"/>
          <w:sz w:val="28"/>
          <w:szCs w:val="28"/>
        </w:rPr>
        <w:t>30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7509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2D645A" w:rsidRPr="000F6C9C" w:rsidRDefault="002D645A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754E84" w:rsidRPr="000F6C9C" w:rsidRDefault="00754E84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Технические налоговые расходы</w:t>
      </w:r>
      <w:r w:rsidR="0052208D" w:rsidRPr="000F6C9C">
        <w:rPr>
          <w:rStyle w:val="FontStyle38"/>
          <w:sz w:val="28"/>
          <w:szCs w:val="28"/>
        </w:rPr>
        <w:t xml:space="preserve"> призваны </w:t>
      </w:r>
      <w:r w:rsidR="0052208D"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 w:rsidRPr="000F6C9C">
        <w:rPr>
          <w:rFonts w:ascii="Times New Roman" w:hAnsi="Times New Roman" w:cs="Times New Roman"/>
          <w:sz w:val="28"/>
          <w:szCs w:val="28"/>
        </w:rPr>
        <w:t>ов на величину этих налогов.</w:t>
      </w:r>
      <w:r w:rsidR="004C5C9E" w:rsidRPr="000F6C9C">
        <w:rPr>
          <w:rStyle w:val="FontStyle38"/>
          <w:sz w:val="28"/>
          <w:szCs w:val="28"/>
        </w:rPr>
        <w:t xml:space="preserve">Технические налоговые расходы </w:t>
      </w:r>
      <w:r w:rsidRPr="000F6C9C">
        <w:rPr>
          <w:rStyle w:val="FontStyle38"/>
          <w:sz w:val="28"/>
          <w:szCs w:val="28"/>
        </w:rPr>
        <w:t xml:space="preserve">не оказывают отрицательного влияния на показатели достижения целей социально-экономической политики как города </w:t>
      </w:r>
      <w:r w:rsidR="00C2566F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, так и </w:t>
      </w:r>
      <w:r w:rsidR="00C2566F" w:rsidRPr="000F6C9C">
        <w:rPr>
          <w:rStyle w:val="FontStyle38"/>
          <w:sz w:val="28"/>
          <w:szCs w:val="28"/>
        </w:rPr>
        <w:t xml:space="preserve">Вольского </w:t>
      </w:r>
      <w:r w:rsidRPr="000F6C9C">
        <w:rPr>
          <w:rStyle w:val="FontStyle38"/>
          <w:sz w:val="28"/>
          <w:szCs w:val="28"/>
        </w:rPr>
        <w:t>муниципального района в целом</w:t>
      </w:r>
      <w:r w:rsidR="004C5C9E" w:rsidRPr="000F6C9C">
        <w:rPr>
          <w:rStyle w:val="FontStyle38"/>
          <w:sz w:val="28"/>
          <w:szCs w:val="28"/>
        </w:rPr>
        <w:t>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2.2 Оценка результативности технических налоговых расходов</w:t>
      </w:r>
    </w:p>
    <w:p w:rsidR="007D4DEC" w:rsidRPr="000F6C9C" w:rsidRDefault="007D4DE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В отношении технических налоговых расходов, предоставленных муниципальным учреждениям, оценка проводилась путем определения бюджетной эффективности.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МО г. </w:t>
      </w:r>
      <w:r w:rsidR="00BE6DE8" w:rsidRPr="000F6C9C">
        <w:rPr>
          <w:color w:val="000000" w:themeColor="text1"/>
        </w:rPr>
        <w:t>Вольск</w:t>
      </w:r>
      <w:r w:rsidRPr="000F6C9C">
        <w:rPr>
          <w:color w:val="000000" w:themeColor="text1"/>
        </w:rPr>
        <w:t>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0F6C9C" w:rsidRDefault="00BD608D" w:rsidP="00BD6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осуществляется с использованием критерия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МО г. </w:t>
      </w:r>
      <w:r w:rsidR="00BE6DE8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Вольск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МО г. </w:t>
      </w:r>
      <w:r w:rsidR="00BE6DE8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Вольск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 объема бюджетного финансирования.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D60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C9C">
        <w:rPr>
          <w:rFonts w:ascii="Times New Roman" w:hAnsi="Times New Roman" w:cs="Times New Roman"/>
          <w:sz w:val="28"/>
          <w:szCs w:val="28"/>
        </w:rPr>
        <w:t>, где: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БФ - объем бюджетного финансирования организаций при отсутствии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rStyle w:val="412pt"/>
          <w:color w:val="000000" w:themeColor="text1"/>
          <w:sz w:val="28"/>
          <w:szCs w:val="28"/>
        </w:rPr>
        <w:t xml:space="preserve">БФнл - </w:t>
      </w:r>
      <w:r w:rsidRPr="000F6C9C">
        <w:rPr>
          <w:color w:val="000000" w:themeColor="text1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t>РО</w:t>
      </w:r>
      <w:r w:rsidRPr="000F6C9C">
        <w:rPr>
          <w:color w:val="000000" w:themeColor="text1"/>
        </w:rPr>
        <w:t>- расходы организаций по уплате налогов при отсутствии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t>РОнл</w:t>
      </w:r>
      <w:r w:rsidRPr="000F6C9C">
        <w:rPr>
          <w:color w:val="000000" w:themeColor="text1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B1AB9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Расчет коэффициента бюджетной эффективности по</w:t>
      </w:r>
    </w:p>
    <w:p w:rsidR="00BE6DE8" w:rsidRPr="000F6C9C" w:rsidRDefault="00BE6DE8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9C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и муниципальным учреждениям, финансируемым за счет средств бюджетов различных уровней</w:t>
      </w:r>
    </w:p>
    <w:p w:rsidR="00BB1AB9" w:rsidRPr="000F6C9C" w:rsidRDefault="00BB1AB9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8D" w:rsidRPr="000F6C9C" w:rsidRDefault="00BB1AB9" w:rsidP="00BB1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Так как БФ=РО, а  </w:t>
      </w:r>
      <w:r w:rsidRPr="000F6C9C">
        <w:rPr>
          <w:rStyle w:val="412pt"/>
          <w:color w:val="000000" w:themeColor="text1"/>
          <w:sz w:val="28"/>
          <w:szCs w:val="28"/>
        </w:rPr>
        <w:t>БФнл=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РОнл    получаем:</w:t>
      </w:r>
    </w:p>
    <w:p w:rsidR="00BB1AB9" w:rsidRPr="000F6C9C" w:rsidRDefault="00BB1AB9" w:rsidP="00BB1A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К</w:t>
      </w:r>
      <w:r w:rsidRPr="000F6C9C">
        <w:rPr>
          <w:b/>
          <w:color w:val="000000" w:themeColor="text1"/>
          <w:vertAlign w:val="subscript"/>
        </w:rPr>
        <w:t>бэ</w:t>
      </w:r>
      <m:oMath>
        <m:r>
          <m:rPr>
            <m:sty m:val="bi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4076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4076</m:t>
            </m:r>
          </m:den>
        </m:f>
      </m:oMath>
      <w:r w:rsidRPr="000F6C9C">
        <w:rPr>
          <w:b/>
          <w:color w:val="000000" w:themeColor="text1"/>
        </w:rPr>
        <w:t xml:space="preserve"> = 1,0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p w:rsidR="00BD608D" w:rsidRDefault="00BD608D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Результаты оценки бюджетной эффек</w:t>
      </w:r>
      <w:r w:rsidR="00667501" w:rsidRPr="000F6C9C">
        <w:rPr>
          <w:b/>
          <w:color w:val="000000" w:themeColor="text1"/>
        </w:rPr>
        <w:t>тивности налоговых льгот за 20</w:t>
      </w:r>
      <w:r w:rsidR="00DB4C1E">
        <w:rPr>
          <w:b/>
          <w:color w:val="000000" w:themeColor="text1"/>
        </w:rPr>
        <w:t>2</w:t>
      </w:r>
      <w:r w:rsidR="00F810BE">
        <w:rPr>
          <w:b/>
          <w:color w:val="000000" w:themeColor="text1"/>
        </w:rPr>
        <w:t>2</w:t>
      </w:r>
      <w:r w:rsidRPr="000F6C9C">
        <w:rPr>
          <w:b/>
          <w:color w:val="000000" w:themeColor="text1"/>
        </w:rPr>
        <w:t xml:space="preserve"> год</w:t>
      </w:r>
    </w:p>
    <w:p w:rsidR="0019301C" w:rsidRPr="000F6C9C" w:rsidRDefault="0019301C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2835"/>
        <w:gridCol w:w="2835"/>
        <w:gridCol w:w="1701"/>
        <w:gridCol w:w="1581"/>
      </w:tblGrid>
      <w:tr w:rsidR="00BD608D" w:rsidRPr="000F6C9C" w:rsidTr="00DB4C1E">
        <w:trPr>
          <w:trHeight w:hRule="exact" w:val="2557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Вид налога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Категория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налогоплательщиков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Количество организаций (индивидуальных предпринимателей) данной категорииналогоплательщиков, получивших налоговую льготу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Сумма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 xml:space="preserve">предоставленной налоговой льготы 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(тыс. рублей)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Коэффициент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бюджетной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эффективности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налоговой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льготы</w:t>
            </w:r>
          </w:p>
        </w:tc>
      </w:tr>
      <w:tr w:rsidR="00BD608D" w:rsidRPr="000F6C9C" w:rsidTr="0019301C">
        <w:trPr>
          <w:trHeight w:hRule="exact" w:val="2513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Земельный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налог</w:t>
            </w:r>
          </w:p>
        </w:tc>
        <w:tc>
          <w:tcPr>
            <w:tcW w:w="2835" w:type="dxa"/>
            <w:shd w:val="clear" w:color="auto" w:fill="FFFFFF"/>
          </w:tcPr>
          <w:p w:rsidR="00BD608D" w:rsidRPr="000F6C9C" w:rsidRDefault="0001325E" w:rsidP="00013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 муниципальные учреждениям, финансируемые за счет средств бюджетов различных уровней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DB4C1E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05pt"/>
                <w:b w:val="0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0F6C9C" w:rsidRDefault="0047305B" w:rsidP="00F810BE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4pt"/>
                <w:color w:val="000000" w:themeColor="text1"/>
              </w:rPr>
              <w:t>4</w:t>
            </w:r>
            <w:r w:rsidR="00F810BE">
              <w:rPr>
                <w:rStyle w:val="214pt"/>
                <w:color w:val="000000" w:themeColor="text1"/>
              </w:rPr>
              <w:t>076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left"/>
        <w:rPr>
          <w:color w:val="000000" w:themeColor="text1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Коэффициент бюджетной эффективности равен единице, следовательно, льг</w:t>
      </w:r>
      <w:r w:rsidR="00667501" w:rsidRPr="000F6C9C">
        <w:rPr>
          <w:color w:val="000000" w:themeColor="text1"/>
        </w:rPr>
        <w:t>ота по земельному налогу за 20</w:t>
      </w:r>
      <w:r w:rsidR="00DB4C1E">
        <w:rPr>
          <w:color w:val="000000" w:themeColor="text1"/>
        </w:rPr>
        <w:t>2</w:t>
      </w:r>
      <w:r w:rsidR="0047305B">
        <w:rPr>
          <w:color w:val="000000" w:themeColor="text1"/>
        </w:rPr>
        <w:t>1</w:t>
      </w:r>
      <w:r w:rsidRPr="000F6C9C">
        <w:rPr>
          <w:color w:val="000000" w:themeColor="text1"/>
        </w:rPr>
        <w:t xml:space="preserve"> год в отношении </w:t>
      </w:r>
      <w:r w:rsidR="0001325E" w:rsidRPr="000F6C9C">
        <w:rPr>
          <w:color w:val="000000" w:themeColor="text1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Pr="000F6C9C">
        <w:rPr>
          <w:color w:val="000000" w:themeColor="text1"/>
        </w:rPr>
        <w:t>признается эффективной.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6D63C3" w:rsidRPr="000F6C9C" w:rsidRDefault="006D63C3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D6431D" w:rsidRPr="000F6C9C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8C6DB9" w:rsidRPr="000F6C9C">
        <w:rPr>
          <w:b/>
          <w:bCs/>
        </w:rPr>
        <w:t>Вольск</w:t>
      </w:r>
    </w:p>
    <w:p w:rsidR="006D63C3" w:rsidRPr="000F6C9C" w:rsidRDefault="006D63C3" w:rsidP="006D63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018" w:rsidRPr="000F6C9C" w:rsidRDefault="002D2018" w:rsidP="002D201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53027E" w:rsidRDefault="0053027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lastRenderedPageBreak/>
        <w:t>Вып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ие доходы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юдж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8C6DB9" w:rsidRPr="000F6C9C">
        <w:rPr>
          <w:rFonts w:ascii="Times New Roman" w:eastAsia="Times New Roman" w:hAnsi="Times New Roman" w:cs="Times New Roman"/>
          <w:sz w:val="28"/>
          <w:szCs w:val="28"/>
        </w:rPr>
        <w:t>Вольск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ому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гу 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муниципальны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бюджетов различных уровней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:rsidR="00F810BE" w:rsidRDefault="00F810B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- 4076 тыс. руб. в 2022 году</w:t>
      </w:r>
    </w:p>
    <w:p w:rsidR="0047305B" w:rsidRDefault="0047305B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- 4423 тыс. рублей в 2021 году</w:t>
      </w:r>
    </w:p>
    <w:p w:rsidR="00DB4C1E" w:rsidRPr="000F6C9C" w:rsidRDefault="00DB4C1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- 3980 тыс. рублей в 2020 году</w:t>
      </w:r>
    </w:p>
    <w:p w:rsidR="0053027E" w:rsidRPr="000F6C9C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12073,6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в 2019 году,</w:t>
      </w:r>
    </w:p>
    <w:p w:rsidR="0053027E" w:rsidRPr="000F6C9C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6644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.рублей в 2018 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6D63C3" w:rsidRPr="000F6C9C" w:rsidRDefault="0053027E" w:rsidP="005302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5BCE" w:rsidRPr="000F6C9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D55BCE" w:rsidRPr="000F6C9C">
        <w:rPr>
          <w:rFonts w:ascii="Times New Roman" w:hAnsi="Times New Roman" w:cs="Times New Roman"/>
          <w:bCs/>
          <w:sz w:val="28"/>
          <w:szCs w:val="28"/>
        </w:rPr>
        <w:t xml:space="preserve">Вольского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муниципального района до 2030 года</w:t>
      </w:r>
      <w:r w:rsidR="00190680" w:rsidRPr="000F6C9C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190680" w:rsidRPr="000F6C9C">
        <w:rPr>
          <w:rFonts w:ascii="Times New Roman" w:hAnsi="Times New Roman" w:cs="Times New Roman"/>
          <w:sz w:val="28"/>
          <w:szCs w:val="28"/>
        </w:rPr>
        <w:t>совершенствования методов планирования и управления бюджетным процессом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8A7D35" w:rsidRPr="000F6C9C">
        <w:rPr>
          <w:rFonts w:ascii="Times New Roman" w:hAnsi="Times New Roman" w:cs="Times New Roman"/>
          <w:sz w:val="28"/>
          <w:szCs w:val="28"/>
        </w:rPr>
        <w:t xml:space="preserve"> в отношении экономического развития муниципального образования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, имеют положительные индикаторы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0F6C9C">
        <w:rPr>
          <w:rFonts w:ascii="Times New Roman" w:hAnsi="Times New Roman" w:cs="Times New Roman"/>
          <w:bCs/>
          <w:sz w:val="28"/>
          <w:szCs w:val="28"/>
        </w:rPr>
        <w:t xml:space="preserve"> эффективности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 xml:space="preserve">и поэтому </w:t>
      </w:r>
      <w:r w:rsidRPr="000F6C9C">
        <w:rPr>
          <w:rFonts w:ascii="Times New Roman" w:hAnsi="Times New Roman" w:cs="Times New Roman"/>
          <w:sz w:val="28"/>
          <w:szCs w:val="28"/>
        </w:rPr>
        <w:t>при</w:t>
      </w:r>
      <w:r w:rsidR="006D63C3" w:rsidRPr="000F6C9C">
        <w:rPr>
          <w:rFonts w:ascii="Times New Roman" w:hAnsi="Times New Roman" w:cs="Times New Roman"/>
          <w:sz w:val="28"/>
          <w:szCs w:val="28"/>
        </w:rPr>
        <w:t>знаются эффективными и не требующими отмены.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 Оценка эффективности стимулирующих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547454" w:rsidRPr="000F6C9C">
        <w:rPr>
          <w:b/>
          <w:bCs/>
        </w:rPr>
        <w:t>Вольск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3.1 Оценка целесообразности стимулирующих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3.1.1 Соответствие стимулирующих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077"/>
        <w:gridCol w:w="2876"/>
        <w:gridCol w:w="3462"/>
      </w:tblGrid>
      <w:tr w:rsidR="00C807E8" w:rsidRPr="000F6C9C" w:rsidTr="0019301C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62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19301C">
        <w:tc>
          <w:tcPr>
            <w:tcW w:w="4077" w:type="dxa"/>
          </w:tcPr>
          <w:p w:rsidR="0023642A" w:rsidRPr="000F6C9C" w:rsidRDefault="00547454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</w:t>
            </w:r>
            <w:r w:rsidR="0023642A" w:rsidRPr="000F6C9C">
              <w:rPr>
                <w:bCs/>
              </w:rPr>
              <w:t xml:space="preserve">свобождение от уплаты земельного налога: </w:t>
            </w:r>
          </w:p>
          <w:p w:rsidR="00C807E8" w:rsidRPr="000F6C9C" w:rsidRDefault="0023642A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 w:rsidR="00DF784D" w:rsidRPr="000F6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-инвестор</w:t>
            </w:r>
            <w:r w:rsidR="00DF784D" w:rsidRPr="000F6C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зарегистрированным на территории муниципального образования город Вольск и заключившим инвестиционный договор 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784D" w:rsidRPr="000F6C9C" w:rsidRDefault="00DF784D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являющихся государственными заказчиками строительства (реконструкции) объектов социальной сферы 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100%),</w:t>
            </w:r>
          </w:p>
          <w:p w:rsidR="00DF784D" w:rsidRDefault="00DF784D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организаций-инвесторов, являющихся стороной специального инвестиционного контракта 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0%).</w:t>
            </w:r>
          </w:p>
          <w:p w:rsidR="0047305B" w:rsidRPr="000F6C9C" w:rsidRDefault="0047305B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организации и физические лица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земельных участков, занятых приютами для животных</w:t>
            </w:r>
          </w:p>
        </w:tc>
        <w:tc>
          <w:tcPr>
            <w:tcW w:w="2876" w:type="dxa"/>
          </w:tcPr>
          <w:p w:rsidR="00C807E8" w:rsidRPr="000F6C9C" w:rsidRDefault="00C807E8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lastRenderedPageBreak/>
              <w:t xml:space="preserve">Стратегия социально-экономического развития </w:t>
            </w:r>
            <w:r w:rsidR="004E2B24">
              <w:rPr>
                <w:bCs/>
              </w:rPr>
              <w:t xml:space="preserve">Вольского </w:t>
            </w:r>
            <w:r w:rsidRPr="000F6C9C">
              <w:rPr>
                <w:bCs/>
              </w:rPr>
              <w:t>муниципального района до 2030 года</w:t>
            </w:r>
          </w:p>
        </w:tc>
        <w:tc>
          <w:tcPr>
            <w:tcW w:w="3462" w:type="dxa"/>
          </w:tcPr>
          <w:p w:rsidR="008275CE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0F6C9C">
              <w:t xml:space="preserve">- Приоритет: </w:t>
            </w:r>
            <w:r w:rsidR="008275CE" w:rsidRPr="000F6C9C">
              <w:t xml:space="preserve">Сильная экономика </w:t>
            </w:r>
          </w:p>
          <w:p w:rsidR="008275CE" w:rsidRPr="000F6C9C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(Задача: </w:t>
            </w:r>
            <w:r w:rsidRPr="000F6C9C">
              <w:rPr>
                <w:color w:val="000000"/>
                <w:sz w:val="28"/>
                <w:szCs w:val="28"/>
              </w:rPr>
              <w:t xml:space="preserve">Достижение качественно нового уровня конкурентоспособности экономики </w:t>
            </w:r>
            <w:r w:rsidR="00547454" w:rsidRPr="000F6C9C">
              <w:rPr>
                <w:color w:val="000000"/>
                <w:sz w:val="28"/>
                <w:szCs w:val="28"/>
              </w:rPr>
              <w:t xml:space="preserve">Вольского </w:t>
            </w:r>
            <w:r w:rsidRPr="000F6C9C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C807E8" w:rsidRPr="000F6C9C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6C9C">
              <w:rPr>
                <w:color w:val="000000"/>
                <w:sz w:val="28"/>
                <w:szCs w:val="28"/>
              </w:rPr>
              <w:t>на базе инноваций и развития новых бизнесов)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3.1.2 Востребованность стимулирующих налоговых расходов:</w:t>
      </w:r>
    </w:p>
    <w:p w:rsidR="00A05D6A" w:rsidRPr="000F6C9C" w:rsidRDefault="00A05D6A" w:rsidP="00BD60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8D" w:rsidRPr="000F6C9C" w:rsidRDefault="00BD608D" w:rsidP="00BD608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20</w:t>
      </w:r>
      <w:r w:rsidR="00DB4C1E">
        <w:rPr>
          <w:rFonts w:ascii="Times New Roman" w:hAnsi="Times New Roman" w:cs="Times New Roman"/>
          <w:sz w:val="28"/>
          <w:szCs w:val="28"/>
        </w:rPr>
        <w:t>2</w:t>
      </w:r>
      <w:r w:rsidR="0031156C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году стимулирующей льготой по земельному налогу пользовался единственный хозяйствующий субъект </w:t>
      </w:r>
      <w:r w:rsidR="00547454" w:rsidRPr="000F6C9C">
        <w:rPr>
          <w:rFonts w:ascii="Times New Roman" w:hAnsi="Times New Roman" w:cs="Times New Roman"/>
          <w:sz w:val="28"/>
          <w:szCs w:val="28"/>
        </w:rPr>
        <w:t>–</w:t>
      </w:r>
      <w:r w:rsidR="00547454" w:rsidRPr="000F6C9C">
        <w:rPr>
          <w:rFonts w:ascii="Times New Roman" w:hAnsi="Times New Roman" w:cs="Times New Roman"/>
          <w:bCs/>
          <w:sz w:val="28"/>
          <w:szCs w:val="28"/>
        </w:rPr>
        <w:t>ИП Бадалов Р.Ф.о</w:t>
      </w:r>
      <w:r w:rsidR="002C735D" w:rsidRPr="000F6C9C">
        <w:rPr>
          <w:rFonts w:ascii="Times New Roman" w:hAnsi="Times New Roman" w:cs="Times New Roman"/>
          <w:bCs/>
          <w:sz w:val="28"/>
          <w:szCs w:val="28"/>
        </w:rPr>
        <w:t xml:space="preserve"> с пониженной ставкой налога в размере </w:t>
      </w:r>
      <w:r w:rsidR="00547454" w:rsidRPr="000F6C9C">
        <w:rPr>
          <w:rFonts w:ascii="Times New Roman" w:hAnsi="Times New Roman" w:cs="Times New Roman"/>
          <w:bCs/>
          <w:sz w:val="28"/>
          <w:szCs w:val="28"/>
        </w:rPr>
        <w:t>10</w:t>
      </w:r>
      <w:r w:rsidR="002C735D" w:rsidRPr="000F6C9C">
        <w:rPr>
          <w:rFonts w:ascii="Times New Roman" w:hAnsi="Times New Roman" w:cs="Times New Roman"/>
          <w:bCs/>
          <w:sz w:val="28"/>
          <w:szCs w:val="28"/>
        </w:rPr>
        <w:t>0%</w:t>
      </w:r>
      <w:r w:rsidRPr="000F6C9C">
        <w:rPr>
          <w:rFonts w:ascii="Times New Roman" w:hAnsi="Times New Roman" w:cs="Times New Roman"/>
          <w:bCs/>
          <w:sz w:val="28"/>
          <w:szCs w:val="28"/>
        </w:rPr>
        <w:t>.</w:t>
      </w:r>
    </w:p>
    <w:p w:rsidR="00F97F00" w:rsidRPr="000F6C9C" w:rsidRDefault="00F97F00" w:rsidP="00F97F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 w:rsidR="00DB4C1E">
        <w:rPr>
          <w:rFonts w:ascii="Times New Roman" w:hAnsi="Times New Roman" w:cs="Times New Roman"/>
          <w:sz w:val="28"/>
          <w:szCs w:val="28"/>
        </w:rPr>
        <w:t>2</w:t>
      </w:r>
      <w:r w:rsidR="0031156C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05D6A" w:rsidRPr="000F6C9C">
        <w:rPr>
          <w:rFonts w:ascii="Times New Roman" w:hAnsi="Times New Roman" w:cs="Times New Roman"/>
          <w:bCs/>
          <w:sz w:val="28"/>
          <w:szCs w:val="28"/>
        </w:rPr>
        <w:t xml:space="preserve">ИП Бадалов Р.Ф.о </w:t>
      </w:r>
      <w:r w:rsidRPr="000F6C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1156C">
        <w:rPr>
          <w:rFonts w:ascii="Times New Roman" w:hAnsi="Times New Roman" w:cs="Times New Roman"/>
          <w:sz w:val="28"/>
          <w:szCs w:val="28"/>
        </w:rPr>
        <w:t>27</w:t>
      </w:r>
      <w:r w:rsidRPr="000F6C9C">
        <w:rPr>
          <w:rFonts w:ascii="Times New Roman" w:hAnsi="Times New Roman" w:cs="Times New Roman"/>
          <w:sz w:val="28"/>
          <w:szCs w:val="28"/>
        </w:rPr>
        <w:t xml:space="preserve"> тыс</w:t>
      </w:r>
      <w:r w:rsidR="00A05D6A" w:rsidRPr="000F6C9C">
        <w:rPr>
          <w:rFonts w:ascii="Times New Roman" w:hAnsi="Times New Roman" w:cs="Times New Roman"/>
          <w:sz w:val="28"/>
          <w:szCs w:val="28"/>
        </w:rPr>
        <w:t>. рублей.</w:t>
      </w:r>
      <w:r w:rsidRPr="000F6C9C">
        <w:rPr>
          <w:rFonts w:ascii="Times New Roman" w:hAnsi="Times New Roman" w:cs="Times New Roman"/>
          <w:sz w:val="28"/>
          <w:szCs w:val="28"/>
        </w:rPr>
        <w:t xml:space="preserve"> Доля налогового расхода в общей величине налога, предъявленного к уплате юридическими лицами, составляет 0,</w:t>
      </w:r>
      <w:r w:rsidR="0031156C">
        <w:rPr>
          <w:rFonts w:ascii="Times New Roman" w:hAnsi="Times New Roman" w:cs="Times New Roman"/>
          <w:sz w:val="28"/>
          <w:szCs w:val="28"/>
        </w:rPr>
        <w:t>3</w:t>
      </w:r>
      <w:r w:rsidR="00DB4C1E">
        <w:rPr>
          <w:rFonts w:ascii="Times New Roman" w:hAnsi="Times New Roman" w:cs="Times New Roman"/>
          <w:sz w:val="28"/>
          <w:szCs w:val="28"/>
        </w:rPr>
        <w:t>8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F97F00" w:rsidRPr="000F6C9C" w:rsidRDefault="00F97F00" w:rsidP="00F97F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Доля в общем количестве налогоплательщиков составляет 0,</w:t>
      </w:r>
      <w:r w:rsidR="00A05D6A" w:rsidRPr="000F6C9C">
        <w:rPr>
          <w:rFonts w:ascii="Times New Roman" w:hAnsi="Times New Roman" w:cs="Times New Roman"/>
          <w:sz w:val="28"/>
          <w:szCs w:val="28"/>
        </w:rPr>
        <w:t>6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0371E3" w:rsidRPr="000F6C9C" w:rsidRDefault="00A05D6A" w:rsidP="00037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bCs/>
          <w:sz w:val="28"/>
          <w:szCs w:val="28"/>
        </w:rPr>
        <w:t xml:space="preserve">ИП Бадалов Р.Ф.о </w:t>
      </w:r>
      <w:r w:rsidR="000371E3"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пользуется данной льготой 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 2019 года</w:t>
      </w:r>
      <w:r w:rsidR="000371E3"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На основании вышеизложенного можно сделать вывод о востребованности данной льготы.</w:t>
      </w:r>
    </w:p>
    <w:p w:rsidR="00BD608D" w:rsidRPr="000F6C9C" w:rsidRDefault="00BD608D" w:rsidP="00884D20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3.1.3 Отсутствие значимых отрицательных внешних эффектов:</w:t>
      </w:r>
    </w:p>
    <w:p w:rsidR="00CB101D" w:rsidRPr="000F6C9C" w:rsidRDefault="00CB101D" w:rsidP="00EB480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6510B7" w:rsidRPr="000F6C9C" w:rsidRDefault="0040757A" w:rsidP="00EB480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Style w:val="FontStyle38"/>
          <w:sz w:val="28"/>
          <w:szCs w:val="28"/>
        </w:rPr>
        <w:t>Основной целью введения с</w:t>
      </w:r>
      <w:r w:rsidR="003D6054" w:rsidRPr="000F6C9C">
        <w:rPr>
          <w:rStyle w:val="FontStyle38"/>
          <w:sz w:val="28"/>
          <w:szCs w:val="28"/>
        </w:rPr>
        <w:t>тимулирующи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налоговы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расход</w:t>
      </w:r>
      <w:r w:rsidRPr="000F6C9C">
        <w:rPr>
          <w:rStyle w:val="FontStyle38"/>
          <w:sz w:val="28"/>
          <w:szCs w:val="28"/>
        </w:rPr>
        <w:t xml:space="preserve">овявляется повышение конкурентоспособности экономики муниципального образования город </w:t>
      </w:r>
      <w:r w:rsidR="00CB101D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 посредством </w:t>
      </w:r>
      <w:r w:rsidR="00EB480D" w:rsidRPr="000F6C9C">
        <w:rPr>
          <w:rStyle w:val="FontStyle38"/>
          <w:sz w:val="28"/>
          <w:szCs w:val="28"/>
        </w:rPr>
        <w:t xml:space="preserve">роста показателей деятельности промышленного производства </w:t>
      </w:r>
      <w:r w:rsidR="00247906" w:rsidRPr="000F6C9C">
        <w:rPr>
          <w:rStyle w:val="FontStyle38"/>
          <w:sz w:val="28"/>
          <w:szCs w:val="28"/>
        </w:rPr>
        <w:t>и</w:t>
      </w:r>
      <w:r w:rsidR="00EB480D" w:rsidRPr="000F6C9C">
        <w:rPr>
          <w:rStyle w:val="FontStyle38"/>
          <w:sz w:val="28"/>
          <w:szCs w:val="28"/>
        </w:rPr>
        <w:t xml:space="preserve"> создани</w:t>
      </w:r>
      <w:r w:rsidR="00247906" w:rsidRPr="000F6C9C">
        <w:rPr>
          <w:rStyle w:val="FontStyle38"/>
          <w:sz w:val="28"/>
          <w:szCs w:val="28"/>
        </w:rPr>
        <w:t>я</w:t>
      </w:r>
      <w:r w:rsidR="00EB480D" w:rsidRPr="000F6C9C">
        <w:rPr>
          <w:rStyle w:val="FontStyle38"/>
          <w:sz w:val="28"/>
          <w:szCs w:val="28"/>
        </w:rPr>
        <w:t xml:space="preserve"> новых </w:t>
      </w:r>
      <w:r w:rsidRPr="000F6C9C">
        <w:rPr>
          <w:rStyle w:val="FontStyle38"/>
          <w:sz w:val="28"/>
          <w:szCs w:val="28"/>
        </w:rPr>
        <w:t>бизнес-проектов</w:t>
      </w:r>
      <w:r w:rsidR="00EB480D" w:rsidRPr="000F6C9C">
        <w:rPr>
          <w:rStyle w:val="FontStyle38"/>
          <w:sz w:val="28"/>
          <w:szCs w:val="28"/>
        </w:rPr>
        <w:t>.</w:t>
      </w:r>
      <w:r w:rsidR="00884D20" w:rsidRPr="000F6C9C">
        <w:rPr>
          <w:rFonts w:ascii="Times New Roman" w:hAnsi="Times New Roman" w:cs="Times New Roman"/>
          <w:bCs/>
          <w:sz w:val="28"/>
          <w:szCs w:val="28"/>
        </w:rPr>
        <w:t xml:space="preserve">Применение пониженной ставки способствовало </w:t>
      </w:r>
      <w:r w:rsidR="00CB101D" w:rsidRPr="000F6C9C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01E6E" w:rsidRPr="000F6C9C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нового </w:t>
      </w:r>
      <w:r w:rsidR="00CB101D" w:rsidRPr="000F6C9C">
        <w:rPr>
          <w:rFonts w:ascii="Times New Roman" w:hAnsi="Times New Roman" w:cs="Times New Roman"/>
          <w:bCs/>
          <w:sz w:val="28"/>
          <w:szCs w:val="28"/>
        </w:rPr>
        <w:t>инвестиционного проекта по организации работы овощехранилища «Реконструкция и модернизация овощехранилища».</w:t>
      </w:r>
    </w:p>
    <w:p w:rsidR="003D6054" w:rsidRPr="000F6C9C" w:rsidRDefault="003D6054" w:rsidP="006510B7">
      <w:pPr>
        <w:autoSpaceDE w:val="0"/>
        <w:autoSpaceDN w:val="0"/>
        <w:adjustRightInd w:val="0"/>
        <w:ind w:firstLine="540"/>
        <w:jc w:val="both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Стимулирующие налоговые расходы не оказывают отрицательного влияния на показатели достижения целей социально-экономической политики как города </w:t>
      </w:r>
      <w:r w:rsidR="00CB101D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, так и </w:t>
      </w:r>
      <w:r w:rsidR="00CB101D" w:rsidRPr="000F6C9C">
        <w:rPr>
          <w:rStyle w:val="FontStyle38"/>
          <w:sz w:val="28"/>
          <w:szCs w:val="28"/>
        </w:rPr>
        <w:t>Вольского</w:t>
      </w:r>
      <w:r w:rsidRPr="000F6C9C">
        <w:rPr>
          <w:rStyle w:val="FontStyle38"/>
          <w:sz w:val="28"/>
          <w:szCs w:val="28"/>
        </w:rPr>
        <w:t xml:space="preserve"> муниципального района в целом.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3.2 Оценка результативности стимулирующих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230DCD" w:rsidRPr="000F6C9C" w:rsidRDefault="00A959DC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стимулирующих налоговых расходов проводилась посредством оценки социальной и экономической эффективности.</w:t>
      </w:r>
    </w:p>
    <w:p w:rsidR="00A959DC" w:rsidRPr="000F6C9C" w:rsidRDefault="00AC046F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3.2</w:t>
      </w:r>
      <w:r w:rsidR="00230DCD" w:rsidRPr="000F6C9C">
        <w:rPr>
          <w:rFonts w:ascii="Times New Roman" w:hAnsi="Times New Roman" w:cs="Times New Roman"/>
          <w:sz w:val="28"/>
          <w:szCs w:val="28"/>
        </w:rPr>
        <w:t xml:space="preserve">.1 </w:t>
      </w:r>
      <w:r w:rsidR="00A959DC" w:rsidRPr="000F6C9C">
        <w:rPr>
          <w:rFonts w:ascii="Times New Roman" w:hAnsi="Times New Roman" w:cs="Times New Roman"/>
          <w:sz w:val="28"/>
          <w:szCs w:val="28"/>
        </w:rPr>
        <w:t>Социальная эффективность налоговых расходов признается удовлетворительной при положительной динамике не менее двух показателей (индикаторов).</w:t>
      </w:r>
    </w:p>
    <w:p w:rsidR="00230DCD" w:rsidRPr="000F6C9C" w:rsidRDefault="00230DCD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2D8" w:rsidRPr="000F6C9C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szCs w:val="28"/>
        </w:rPr>
      </w:pPr>
      <w:r w:rsidRPr="000F6C9C">
        <w:rPr>
          <w:b/>
          <w:bCs/>
          <w:szCs w:val="28"/>
        </w:rPr>
        <w:t xml:space="preserve">Показатели оценки социальной эффективности </w:t>
      </w:r>
    </w:p>
    <w:p w:rsidR="00230DCD" w:rsidRPr="000F6C9C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szCs w:val="28"/>
        </w:rPr>
      </w:pPr>
      <w:r w:rsidRPr="000F6C9C">
        <w:rPr>
          <w:b/>
          <w:bCs/>
          <w:szCs w:val="28"/>
        </w:rPr>
        <w:t>налоговой льготы за 20</w:t>
      </w:r>
      <w:r w:rsidR="002D4846">
        <w:rPr>
          <w:b/>
          <w:bCs/>
          <w:szCs w:val="28"/>
        </w:rPr>
        <w:t>2</w:t>
      </w:r>
      <w:r w:rsidR="008A5316">
        <w:rPr>
          <w:b/>
          <w:bCs/>
          <w:szCs w:val="28"/>
        </w:rPr>
        <w:t>2</w:t>
      </w:r>
      <w:r w:rsidRPr="000F6C9C">
        <w:rPr>
          <w:b/>
          <w:bCs/>
          <w:szCs w:val="28"/>
        </w:rPr>
        <w:t xml:space="preserve"> год, предоставленной субъекту </w:t>
      </w:r>
    </w:p>
    <w:p w:rsidR="006E22D8" w:rsidRPr="000F6C9C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b/>
          <w:bCs/>
          <w:szCs w:val="28"/>
        </w:rPr>
      </w:pPr>
      <w:r w:rsidRPr="000F6C9C">
        <w:rPr>
          <w:b/>
          <w:bCs/>
          <w:szCs w:val="28"/>
        </w:rPr>
        <w:t xml:space="preserve">инвестиционной деятельности — </w:t>
      </w:r>
      <w:r w:rsidR="00E26CC8" w:rsidRPr="000F6C9C">
        <w:rPr>
          <w:b/>
          <w:bCs/>
          <w:szCs w:val="28"/>
        </w:rPr>
        <w:t>ИП Бадалов Р.Ф.о</w:t>
      </w:r>
      <w:bookmarkStart w:id="0" w:name="_GoBack"/>
      <w:bookmarkEnd w:id="0"/>
    </w:p>
    <w:p w:rsidR="00E26CC8" w:rsidRPr="000F6C9C" w:rsidRDefault="00E26CC8" w:rsidP="00E26CC8">
      <w:pPr>
        <w:rPr>
          <w:rFonts w:ascii="Times New Roman" w:hAnsi="Times New Roman" w:cs="Times New Roman"/>
          <w:sz w:val="28"/>
          <w:szCs w:val="28"/>
          <w:lang w:eastAsia="zh-CN" w:bidi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119"/>
        <w:gridCol w:w="1134"/>
        <w:gridCol w:w="992"/>
        <w:gridCol w:w="1134"/>
        <w:gridCol w:w="1134"/>
        <w:gridCol w:w="1134"/>
      </w:tblGrid>
      <w:tr w:rsidR="000D736F" w:rsidRPr="000F6C9C" w:rsidTr="00EA1C7E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31156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201</w:t>
            </w:r>
            <w:r w:rsidR="0031156C">
              <w:rPr>
                <w:sz w:val="28"/>
                <w:szCs w:val="28"/>
              </w:rPr>
              <w:t>9</w:t>
            </w:r>
            <w:r w:rsidRPr="000F6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31156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20</w:t>
            </w:r>
            <w:r w:rsidR="0031156C">
              <w:rPr>
                <w:sz w:val="28"/>
                <w:szCs w:val="28"/>
              </w:rPr>
              <w:t>20</w:t>
            </w:r>
            <w:r w:rsidRPr="000F6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D736F" w:rsidRPr="000F6C9C" w:rsidRDefault="000D736F" w:rsidP="0031156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15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D736F" w:rsidRPr="000F6C9C" w:rsidRDefault="00497819" w:rsidP="0031156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15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497819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Отклонения (гр. </w:t>
            </w:r>
            <w:r w:rsidR="00497819">
              <w:rPr>
                <w:sz w:val="28"/>
                <w:szCs w:val="28"/>
              </w:rPr>
              <w:t>6</w:t>
            </w:r>
            <w:r w:rsidRPr="000F6C9C">
              <w:rPr>
                <w:sz w:val="28"/>
                <w:szCs w:val="28"/>
              </w:rPr>
              <w:t xml:space="preserve"> - гр. </w:t>
            </w:r>
            <w:r w:rsidR="00497819">
              <w:rPr>
                <w:sz w:val="28"/>
                <w:szCs w:val="28"/>
              </w:rPr>
              <w:t>5</w:t>
            </w:r>
            <w:r w:rsidRPr="000F6C9C">
              <w:rPr>
                <w:sz w:val="28"/>
                <w:szCs w:val="28"/>
              </w:rPr>
              <w:t>)</w:t>
            </w:r>
          </w:p>
        </w:tc>
      </w:tr>
      <w:tr w:rsidR="000D736F" w:rsidRPr="000F6C9C" w:rsidTr="00EA1C7E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D736F" w:rsidRPr="000F6C9C" w:rsidRDefault="000D736F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D736F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6F" w:rsidRPr="000F6C9C" w:rsidRDefault="00497819" w:rsidP="0049781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1156C" w:rsidRPr="000F6C9C" w:rsidTr="00100C91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56C" w:rsidRPr="000F6C9C" w:rsidRDefault="0031156C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Фонд начисленной заработной платы, тыс. </w:t>
            </w:r>
            <w:r w:rsidRPr="000F6C9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lastRenderedPageBreak/>
              <w:t>3960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1156C" w:rsidRDefault="0031156C" w:rsidP="004F053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4F053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1440,0</w:t>
            </w:r>
          </w:p>
        </w:tc>
      </w:tr>
      <w:tr w:rsidR="0031156C" w:rsidRPr="000F6C9C" w:rsidTr="00100C91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56C" w:rsidRPr="000F6C9C" w:rsidRDefault="0031156C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Размер </w:t>
            </w:r>
            <w:r w:rsidRPr="000F6C9C">
              <w:rPr>
                <w:rStyle w:val="ae"/>
                <w:b w:val="0"/>
                <w:color w:val="auto"/>
                <w:sz w:val="28"/>
                <w:szCs w:val="28"/>
              </w:rPr>
              <w:t>среднемесячной заработной платы</w:t>
            </w:r>
            <w:r w:rsidRPr="000F6C9C">
              <w:rPr>
                <w:sz w:val="28"/>
                <w:szCs w:val="28"/>
              </w:rPr>
              <w:t xml:space="preserve"> работников,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1156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1156C" w:rsidRPr="000F6C9C" w:rsidTr="00100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156C" w:rsidRPr="000F6C9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156C" w:rsidRPr="000F6C9C" w:rsidRDefault="0031156C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56C" w:rsidRDefault="0031156C" w:rsidP="004F053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56C" w:rsidRPr="000F6C9C" w:rsidRDefault="0031156C" w:rsidP="004F053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156C" w:rsidRPr="000F6C9C" w:rsidTr="00100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6C" w:rsidRPr="000F6C9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C" w:rsidRPr="000F6C9C" w:rsidRDefault="0031156C" w:rsidP="00E26CC8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Отношение средней заработной платы налогоплательщика к среднестатистической заработной плате, сложившейся в МО г. Вольск по соответствующему виду экономической деятельности*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31156C" w:rsidRPr="000F6C9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C" w:rsidRDefault="0031156C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31156C" w:rsidRDefault="0031156C" w:rsidP="00847F3C">
            <w:pPr>
              <w:rPr>
                <w:lang w:eastAsia="zh-CN" w:bidi="ar-SA"/>
              </w:rPr>
            </w:pPr>
          </w:p>
          <w:p w:rsidR="0031156C" w:rsidRPr="00497819" w:rsidRDefault="0031156C" w:rsidP="00847F3C">
            <w:pPr>
              <w:rPr>
                <w:lang w:eastAsia="zh-CN" w:bidi="ar-SA"/>
              </w:rPr>
            </w:pPr>
            <w:r>
              <w:rPr>
                <w:lang w:eastAsia="zh-CN" w:bidi="ar-SA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C" w:rsidRDefault="0031156C" w:rsidP="00230DCD">
            <w:pPr>
              <w:pStyle w:val="af"/>
              <w:jc w:val="center"/>
              <w:rPr>
                <w:sz w:val="28"/>
                <w:szCs w:val="28"/>
              </w:rPr>
            </w:pPr>
          </w:p>
          <w:p w:rsidR="0031156C" w:rsidRDefault="0031156C" w:rsidP="00497819">
            <w:pPr>
              <w:rPr>
                <w:lang w:eastAsia="zh-CN" w:bidi="ar-SA"/>
              </w:rPr>
            </w:pPr>
          </w:p>
          <w:p w:rsidR="0031156C" w:rsidRPr="00497819" w:rsidRDefault="0031156C" w:rsidP="00497819">
            <w:pPr>
              <w:rPr>
                <w:lang w:eastAsia="zh-CN" w:bidi="ar-SA"/>
              </w:rPr>
            </w:pPr>
            <w:r>
              <w:rPr>
                <w:lang w:eastAsia="zh-CN" w:bidi="ar-SA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6C" w:rsidRPr="000F6C9C" w:rsidRDefault="0031156C" w:rsidP="0031156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+17,7</w:t>
            </w:r>
          </w:p>
        </w:tc>
      </w:tr>
    </w:tbl>
    <w:p w:rsidR="00AD3D9A" w:rsidRPr="000F6C9C" w:rsidRDefault="00AD3D9A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53B" w:rsidRDefault="006E22D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* средняя заработная плата, сложившаяся в муниципальном образовании  г.</w:t>
      </w:r>
      <w:r w:rsidR="00E26CC8" w:rsidRPr="000F6C9C">
        <w:rPr>
          <w:rFonts w:ascii="Times New Roman" w:hAnsi="Times New Roman" w:cs="Times New Roman"/>
          <w:sz w:val="28"/>
          <w:szCs w:val="28"/>
        </w:rPr>
        <w:t>Вольск</w:t>
      </w:r>
      <w:r w:rsidRPr="000F6C9C">
        <w:rPr>
          <w:rFonts w:ascii="Times New Roman" w:hAnsi="Times New Roman" w:cs="Times New Roman"/>
          <w:sz w:val="28"/>
          <w:szCs w:val="28"/>
        </w:rPr>
        <w:t>, по виду экономической деятельности «</w:t>
      </w:r>
      <w:r w:rsidR="00AD3D9A" w:rsidRPr="000F6C9C"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0F6C9C">
        <w:rPr>
          <w:rFonts w:ascii="Times New Roman" w:hAnsi="Times New Roman" w:cs="Times New Roman"/>
          <w:sz w:val="28"/>
          <w:szCs w:val="28"/>
        </w:rPr>
        <w:t>» за 20</w:t>
      </w:r>
      <w:r w:rsidR="004F053B">
        <w:rPr>
          <w:rFonts w:ascii="Times New Roman" w:hAnsi="Times New Roman" w:cs="Times New Roman"/>
          <w:sz w:val="28"/>
          <w:szCs w:val="28"/>
        </w:rPr>
        <w:t>2</w:t>
      </w:r>
      <w:r w:rsidR="0031156C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1156C">
        <w:rPr>
          <w:rFonts w:ascii="Times New Roman" w:hAnsi="Times New Roman" w:cs="Times New Roman"/>
          <w:sz w:val="28"/>
          <w:szCs w:val="28"/>
        </w:rPr>
        <w:t>30628,5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F053B">
        <w:rPr>
          <w:rFonts w:ascii="Times New Roman" w:hAnsi="Times New Roman" w:cs="Times New Roman"/>
          <w:sz w:val="28"/>
          <w:szCs w:val="28"/>
        </w:rPr>
        <w:t>.</w:t>
      </w:r>
    </w:p>
    <w:p w:rsidR="00230DCD" w:rsidRPr="000F6C9C" w:rsidRDefault="006E22D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Из вышеприведенной таблицы видно, что показател</w:t>
      </w:r>
      <w:r w:rsidR="00B92FEE" w:rsidRPr="000F6C9C">
        <w:rPr>
          <w:rFonts w:ascii="Times New Roman" w:hAnsi="Times New Roman" w:cs="Times New Roman"/>
          <w:sz w:val="28"/>
          <w:szCs w:val="28"/>
        </w:rPr>
        <w:t>и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оценки, имеют положительную динамику: численность работников</w:t>
      </w:r>
      <w:r w:rsidR="00F658C3">
        <w:rPr>
          <w:rFonts w:ascii="Times New Roman" w:hAnsi="Times New Roman" w:cs="Times New Roman"/>
          <w:sz w:val="28"/>
          <w:szCs w:val="28"/>
        </w:rPr>
        <w:t xml:space="preserve"> осталась на прежнем уровне</w:t>
      </w:r>
      <w:r w:rsidRPr="000F6C9C">
        <w:rPr>
          <w:rFonts w:ascii="Times New Roman" w:hAnsi="Times New Roman" w:cs="Times New Roman"/>
          <w:sz w:val="28"/>
          <w:szCs w:val="28"/>
        </w:rPr>
        <w:t xml:space="preserve">, фонд начисленной заработной платы увеличился на </w:t>
      </w:r>
      <w:r w:rsidR="0031156C">
        <w:rPr>
          <w:rFonts w:ascii="Times New Roman" w:hAnsi="Times New Roman" w:cs="Times New Roman"/>
          <w:sz w:val="28"/>
          <w:szCs w:val="28"/>
        </w:rPr>
        <w:t>29,6</w:t>
      </w:r>
      <w:r w:rsidRPr="000F6C9C">
        <w:rPr>
          <w:rFonts w:ascii="Times New Roman" w:hAnsi="Times New Roman" w:cs="Times New Roman"/>
          <w:sz w:val="28"/>
          <w:szCs w:val="28"/>
        </w:rPr>
        <w:t>%, размер среднемесячной заработной платы, сложившийся на предприятии, превышает среднемесячную заработную плату по виду экономической деятельности «</w:t>
      </w:r>
      <w:r w:rsidR="00B92FEE" w:rsidRPr="000F6C9C"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0F6C9C">
        <w:rPr>
          <w:rFonts w:ascii="Times New Roman" w:hAnsi="Times New Roman" w:cs="Times New Roman"/>
          <w:sz w:val="28"/>
          <w:szCs w:val="28"/>
        </w:rPr>
        <w:t>» по г.</w:t>
      </w:r>
      <w:r w:rsidR="00B92FEE" w:rsidRPr="000F6C9C">
        <w:rPr>
          <w:rFonts w:ascii="Times New Roman" w:hAnsi="Times New Roman" w:cs="Times New Roman"/>
          <w:sz w:val="28"/>
          <w:szCs w:val="28"/>
        </w:rPr>
        <w:t>Вольск</w:t>
      </w:r>
      <w:r w:rsidR="00497819">
        <w:rPr>
          <w:rFonts w:ascii="Times New Roman" w:hAnsi="Times New Roman" w:cs="Times New Roman"/>
          <w:sz w:val="28"/>
          <w:szCs w:val="28"/>
        </w:rPr>
        <w:t>.. Предприятие планирует повышение оплаты труда</w:t>
      </w:r>
      <w:r w:rsidRPr="000F6C9C">
        <w:rPr>
          <w:rFonts w:ascii="Times New Roman" w:hAnsi="Times New Roman" w:cs="Times New Roman"/>
          <w:sz w:val="28"/>
          <w:szCs w:val="28"/>
        </w:rPr>
        <w:t>.</w:t>
      </w:r>
    </w:p>
    <w:p w:rsidR="00230DCD" w:rsidRPr="000F6C9C" w:rsidRDefault="006E22D8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Следовательно, с позиции оценки социальной эффективности, </w:t>
      </w:r>
      <w:r w:rsidR="00392CEA" w:rsidRPr="000F6C9C">
        <w:rPr>
          <w:rFonts w:ascii="Times New Roman" w:hAnsi="Times New Roman" w:cs="Times New Roman"/>
          <w:sz w:val="28"/>
          <w:szCs w:val="28"/>
        </w:rPr>
        <w:t>налоговые расходы</w:t>
      </w:r>
      <w:r w:rsidRPr="000F6C9C">
        <w:rPr>
          <w:rFonts w:ascii="Times New Roman" w:hAnsi="Times New Roman" w:cs="Times New Roman"/>
          <w:sz w:val="28"/>
          <w:szCs w:val="28"/>
        </w:rPr>
        <w:t xml:space="preserve"> за 20</w:t>
      </w:r>
      <w:r w:rsidR="00497819">
        <w:rPr>
          <w:rFonts w:ascii="Times New Roman" w:hAnsi="Times New Roman" w:cs="Times New Roman"/>
          <w:sz w:val="28"/>
          <w:szCs w:val="28"/>
        </w:rPr>
        <w:t>2</w:t>
      </w:r>
      <w:r w:rsidR="0031156C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в отношении субъекта инвестиционной деятельности — </w:t>
      </w:r>
      <w:r w:rsidR="00B92FEE" w:rsidRPr="000F6C9C">
        <w:rPr>
          <w:rFonts w:ascii="Times New Roman" w:hAnsi="Times New Roman" w:cs="Times New Roman"/>
          <w:sz w:val="28"/>
          <w:szCs w:val="28"/>
        </w:rPr>
        <w:t>ИП Бадалов Р.Ф.о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392CEA" w:rsidRPr="000F6C9C">
        <w:rPr>
          <w:rFonts w:ascii="Times New Roman" w:hAnsi="Times New Roman" w:cs="Times New Roman"/>
          <w:sz w:val="28"/>
          <w:szCs w:val="28"/>
        </w:rPr>
        <w:t>ю</w:t>
      </w:r>
      <w:r w:rsidRPr="000F6C9C">
        <w:rPr>
          <w:rFonts w:ascii="Times New Roman" w:hAnsi="Times New Roman" w:cs="Times New Roman"/>
          <w:sz w:val="28"/>
          <w:szCs w:val="28"/>
        </w:rPr>
        <w:t>тся эффективн</w:t>
      </w:r>
      <w:r w:rsidR="00392CEA" w:rsidRPr="000F6C9C">
        <w:rPr>
          <w:rFonts w:ascii="Times New Roman" w:hAnsi="Times New Roman" w:cs="Times New Roman"/>
          <w:sz w:val="28"/>
          <w:szCs w:val="28"/>
        </w:rPr>
        <w:t>ыми</w:t>
      </w:r>
      <w:r w:rsidRPr="000F6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FEE" w:rsidRPr="000F6C9C" w:rsidRDefault="00B92FEE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DCD" w:rsidRPr="000F6C9C" w:rsidRDefault="00AC046F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3.2</w:t>
      </w:r>
      <w:r w:rsidR="00230DCD" w:rsidRPr="000F6C9C">
        <w:rPr>
          <w:rFonts w:ascii="Times New Roman" w:hAnsi="Times New Roman" w:cs="Times New Roman"/>
          <w:sz w:val="28"/>
          <w:szCs w:val="28"/>
        </w:rPr>
        <w:t>.2 Экономическая эффективность налоговых расходов признается удовлетворительной при положительной динамике одного из показателей (индикаторов).</w:t>
      </w:r>
    </w:p>
    <w:p w:rsidR="00230DCD" w:rsidRPr="000F6C9C" w:rsidRDefault="00230DCD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2D8" w:rsidRPr="000F6C9C" w:rsidRDefault="006E22D8" w:rsidP="00230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b/>
          <w:bCs/>
          <w:sz w:val="28"/>
          <w:szCs w:val="28"/>
        </w:rPr>
        <w:t>Показатели оценки экономической эффективности налоговой льготы</w:t>
      </w:r>
    </w:p>
    <w:p w:rsidR="006E22D8" w:rsidRPr="000F6C9C" w:rsidRDefault="00230DCD" w:rsidP="00230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6E22D8" w:rsidRPr="000F6C9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B28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4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22D8" w:rsidRPr="000F6C9C">
        <w:rPr>
          <w:rFonts w:ascii="Times New Roman" w:hAnsi="Times New Roman" w:cs="Times New Roman"/>
          <w:b/>
          <w:bCs/>
          <w:sz w:val="28"/>
          <w:szCs w:val="28"/>
        </w:rPr>
        <w:t xml:space="preserve"> год, предоставленной субъекту </w:t>
      </w:r>
    </w:p>
    <w:p w:rsidR="006E22D8" w:rsidRPr="000F6C9C" w:rsidRDefault="006E22D8" w:rsidP="00230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C9C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инвестиционной деятельности — </w:t>
      </w:r>
      <w:r w:rsidR="00B92FEE" w:rsidRPr="000F6C9C">
        <w:rPr>
          <w:rFonts w:ascii="Times New Roman" w:hAnsi="Times New Roman" w:cs="Times New Roman"/>
          <w:b/>
          <w:bCs/>
          <w:sz w:val="28"/>
          <w:szCs w:val="28"/>
        </w:rPr>
        <w:t>ИП Бадалов Р.Ф.о</w:t>
      </w:r>
    </w:p>
    <w:p w:rsidR="00B92FEE" w:rsidRPr="000F6C9C" w:rsidRDefault="00B92FEE" w:rsidP="00230D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544"/>
        <w:gridCol w:w="992"/>
        <w:gridCol w:w="1134"/>
        <w:gridCol w:w="993"/>
        <w:gridCol w:w="1417"/>
        <w:gridCol w:w="1417"/>
      </w:tblGrid>
      <w:tr w:rsidR="00497819" w:rsidRPr="000F6C9C" w:rsidTr="00EA1C7E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7D7C33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201</w:t>
            </w:r>
            <w:r w:rsidR="007D7C33">
              <w:rPr>
                <w:sz w:val="28"/>
                <w:szCs w:val="28"/>
              </w:rPr>
              <w:t>9</w:t>
            </w:r>
            <w:r w:rsidRPr="000F6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7D7C33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20</w:t>
            </w:r>
            <w:r w:rsidR="007D7C33">
              <w:rPr>
                <w:sz w:val="28"/>
                <w:szCs w:val="28"/>
              </w:rPr>
              <w:t>20</w:t>
            </w:r>
            <w:r w:rsidRPr="000F6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Pr="000F6C9C" w:rsidRDefault="007D7C33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49781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Pr="000F6C9C" w:rsidRDefault="007D7C33" w:rsidP="00807856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9781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807856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Отклонения (гр. </w:t>
            </w:r>
            <w:r>
              <w:rPr>
                <w:sz w:val="28"/>
                <w:szCs w:val="28"/>
              </w:rPr>
              <w:t>5</w:t>
            </w:r>
            <w:r w:rsidRPr="000F6C9C">
              <w:rPr>
                <w:sz w:val="28"/>
                <w:szCs w:val="28"/>
              </w:rPr>
              <w:t xml:space="preserve"> - гр. </w:t>
            </w:r>
            <w:r>
              <w:rPr>
                <w:sz w:val="28"/>
                <w:szCs w:val="28"/>
              </w:rPr>
              <w:t>4</w:t>
            </w:r>
            <w:r w:rsidRPr="000F6C9C">
              <w:rPr>
                <w:sz w:val="28"/>
                <w:szCs w:val="28"/>
              </w:rPr>
              <w:t>)</w:t>
            </w:r>
          </w:p>
        </w:tc>
      </w:tr>
      <w:tr w:rsidR="00497819" w:rsidRPr="000F6C9C" w:rsidTr="00EA1C7E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497819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7819" w:rsidRPr="000F6C9C" w:rsidTr="00EA1C7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7819" w:rsidRPr="000F6C9C" w:rsidRDefault="00497819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Объем производства продукции (работ, услуг):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Pr="000F6C9C" w:rsidRDefault="00497819" w:rsidP="00230DCD">
            <w:pPr>
              <w:pStyle w:val="af"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497819" w:rsidRPr="000F6C9C" w:rsidRDefault="00497819" w:rsidP="00230DCD">
            <w:pPr>
              <w:pStyle w:val="af"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819" w:rsidRPr="000F6C9C" w:rsidRDefault="00497819" w:rsidP="00230DCD">
            <w:pPr>
              <w:pStyle w:val="af"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7C33" w:rsidRPr="000F6C9C" w:rsidTr="00DD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230DCD">
            <w:pPr>
              <w:pStyle w:val="af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в натуральном выражении тыс. 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Default="007D7C33" w:rsidP="00847F3C">
            <w:pPr>
              <w:pStyle w:val="af"/>
              <w:ind w:firstLine="567"/>
              <w:jc w:val="center"/>
              <w:rPr>
                <w:sz w:val="28"/>
                <w:szCs w:val="28"/>
              </w:rPr>
            </w:pPr>
          </w:p>
          <w:p w:rsidR="007D7C33" w:rsidRPr="000F6C9C" w:rsidRDefault="007D7C33" w:rsidP="00847F3C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7D7C33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7D7C33">
            <w:pPr>
              <w:pStyle w:val="a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7D7C33">
            <w:pPr>
              <w:pStyle w:val="af"/>
              <w:ind w:firstLine="567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</w:tr>
      <w:tr w:rsidR="007D7C33" w:rsidRPr="000F6C9C" w:rsidTr="00DD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230DCD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стоимостном выражении, тыс.рублей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19550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Default="007D7C33" w:rsidP="007D7C3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167DC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7D7C33" w:rsidRPr="000F6C9C" w:rsidTr="00DD609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Ассортимент продукции </w:t>
            </w:r>
            <w:r w:rsidRPr="000F6C9C">
              <w:rPr>
                <w:sz w:val="28"/>
                <w:szCs w:val="28"/>
              </w:rPr>
              <w:lastRenderedPageBreak/>
              <w:t>(услуг),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167DC5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167DC5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-</w:t>
            </w:r>
          </w:p>
        </w:tc>
      </w:tr>
      <w:tr w:rsidR="007D7C33" w:rsidRPr="000F6C9C" w:rsidTr="00DD609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Стоимость товаров (предоставляемых услуг),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D7C33" w:rsidRPr="000F6C9C" w:rsidRDefault="007D7C33" w:rsidP="00167DC5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167DC5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-</w:t>
            </w:r>
          </w:p>
        </w:tc>
      </w:tr>
      <w:tr w:rsidR="007D7C33" w:rsidRPr="000F6C9C" w:rsidTr="00DD60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230DCD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33" w:rsidRPr="000F6C9C" w:rsidRDefault="007D7C33" w:rsidP="00230DCD">
            <w:pPr>
              <w:pStyle w:val="af0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Затраты на приобретение, модернизацию и техническое перевооружение основных средств, предназначенных для производства работ (оказания услуг), тыс.рублей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23500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33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33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Pr="000F6C9C" w:rsidRDefault="007D7C33" w:rsidP="00847F3C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33" w:rsidRDefault="007D7C33" w:rsidP="00807856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Default="007D7C33" w:rsidP="00807856">
            <w:pPr>
              <w:pStyle w:val="af"/>
              <w:jc w:val="center"/>
              <w:rPr>
                <w:sz w:val="28"/>
                <w:szCs w:val="28"/>
              </w:rPr>
            </w:pPr>
          </w:p>
          <w:p w:rsidR="007D7C33" w:rsidRPr="000F6C9C" w:rsidRDefault="007D7C33" w:rsidP="00807856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C33" w:rsidRPr="000F6C9C" w:rsidRDefault="007D7C33" w:rsidP="00807856">
            <w:pPr>
              <w:pStyle w:val="af"/>
              <w:jc w:val="center"/>
              <w:rPr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>0</w:t>
            </w:r>
          </w:p>
        </w:tc>
      </w:tr>
    </w:tbl>
    <w:p w:rsidR="00230DCD" w:rsidRPr="000F6C9C" w:rsidRDefault="00230DCD" w:rsidP="00230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DCD" w:rsidRPr="000F6C9C" w:rsidRDefault="006E22D8" w:rsidP="00230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Из вышеприведенной таблицы видно, что </w:t>
      </w:r>
      <w:r w:rsidR="00497819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из 4 показателей оценки, имеет положительную динамику — объем произведенной продукции в стоимостном выражении увеличился на </w:t>
      </w:r>
      <w:r w:rsidR="007D7C33">
        <w:rPr>
          <w:rFonts w:ascii="Times New Roman" w:hAnsi="Times New Roman" w:cs="Times New Roman"/>
          <w:sz w:val="28"/>
          <w:szCs w:val="28"/>
        </w:rPr>
        <w:t>117,8</w:t>
      </w:r>
      <w:r w:rsidRPr="000F6C9C">
        <w:rPr>
          <w:rFonts w:ascii="Times New Roman" w:hAnsi="Times New Roman" w:cs="Times New Roman"/>
          <w:sz w:val="28"/>
          <w:szCs w:val="28"/>
        </w:rPr>
        <w:t xml:space="preserve"> %</w:t>
      </w:r>
      <w:r w:rsidR="00EB2808">
        <w:rPr>
          <w:rFonts w:ascii="Times New Roman" w:hAnsi="Times New Roman" w:cs="Times New Roman"/>
          <w:sz w:val="28"/>
          <w:szCs w:val="28"/>
        </w:rPr>
        <w:t>, в натуральном выражении на 0</w:t>
      </w:r>
      <w:r w:rsidR="00497819">
        <w:rPr>
          <w:rFonts w:ascii="Times New Roman" w:hAnsi="Times New Roman" w:cs="Times New Roman"/>
          <w:sz w:val="28"/>
          <w:szCs w:val="28"/>
        </w:rPr>
        <w:t>,</w:t>
      </w:r>
      <w:r w:rsidR="007D7C33">
        <w:rPr>
          <w:rFonts w:ascii="Times New Roman" w:hAnsi="Times New Roman" w:cs="Times New Roman"/>
          <w:sz w:val="28"/>
          <w:szCs w:val="28"/>
        </w:rPr>
        <w:t>2</w:t>
      </w:r>
      <w:r w:rsidR="000F6C9C" w:rsidRPr="000F6C9C">
        <w:rPr>
          <w:rFonts w:ascii="Times New Roman" w:hAnsi="Times New Roman" w:cs="Times New Roman"/>
          <w:sz w:val="28"/>
          <w:szCs w:val="28"/>
        </w:rPr>
        <w:t xml:space="preserve"> тонн</w:t>
      </w:r>
      <w:r w:rsidR="007D7C33">
        <w:rPr>
          <w:rFonts w:ascii="Times New Roman" w:hAnsi="Times New Roman" w:cs="Times New Roman"/>
          <w:sz w:val="28"/>
          <w:szCs w:val="28"/>
        </w:rPr>
        <w:t>ы</w:t>
      </w:r>
      <w:r w:rsidRPr="000F6C9C">
        <w:rPr>
          <w:rFonts w:ascii="Times New Roman" w:hAnsi="Times New Roman" w:cs="Times New Roman"/>
          <w:sz w:val="28"/>
          <w:szCs w:val="28"/>
        </w:rPr>
        <w:t xml:space="preserve">. По причине завершения инвестиционного проекта по </w:t>
      </w:r>
      <w:r w:rsidR="000F6C9C" w:rsidRPr="000F6C9C">
        <w:rPr>
          <w:rFonts w:ascii="Times New Roman" w:hAnsi="Times New Roman" w:cs="Times New Roman"/>
          <w:bCs/>
          <w:sz w:val="28"/>
          <w:szCs w:val="28"/>
        </w:rPr>
        <w:t xml:space="preserve">организации работы овощехранилища </w:t>
      </w:r>
      <w:r w:rsidR="00EB2808">
        <w:rPr>
          <w:rFonts w:ascii="Times New Roman" w:hAnsi="Times New Roman" w:cs="Times New Roman"/>
          <w:sz w:val="28"/>
          <w:szCs w:val="28"/>
        </w:rPr>
        <w:t>отсутствуют</w:t>
      </w:r>
      <w:r w:rsidRPr="000F6C9C">
        <w:rPr>
          <w:rFonts w:ascii="Times New Roman" w:hAnsi="Times New Roman" w:cs="Times New Roman"/>
          <w:sz w:val="28"/>
          <w:szCs w:val="28"/>
        </w:rPr>
        <w:t xml:space="preserve"> затраты на приобретение, модернизацию и техническое перевооружение основных средств, предназначенных для производства работ. </w:t>
      </w:r>
    </w:p>
    <w:p w:rsidR="006E22D8" w:rsidRPr="000F6C9C" w:rsidRDefault="006E22D8" w:rsidP="00392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Следовательно, с позиции оценки экономической эффективности, </w:t>
      </w:r>
      <w:r w:rsidR="00392CEA" w:rsidRPr="000F6C9C">
        <w:rPr>
          <w:rFonts w:ascii="Times New Roman" w:hAnsi="Times New Roman" w:cs="Times New Roman"/>
          <w:sz w:val="28"/>
          <w:szCs w:val="28"/>
        </w:rPr>
        <w:t>налоговые расходы за 20</w:t>
      </w:r>
      <w:r w:rsidR="00EB2808">
        <w:rPr>
          <w:rFonts w:ascii="Times New Roman" w:hAnsi="Times New Roman" w:cs="Times New Roman"/>
          <w:sz w:val="28"/>
          <w:szCs w:val="28"/>
        </w:rPr>
        <w:t>2</w:t>
      </w:r>
      <w:r w:rsidR="007D7C33">
        <w:rPr>
          <w:rFonts w:ascii="Times New Roman" w:hAnsi="Times New Roman" w:cs="Times New Roman"/>
          <w:sz w:val="28"/>
          <w:szCs w:val="28"/>
        </w:rPr>
        <w:t>2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год в отношении субъекта инвестиционной деятельности — </w:t>
      </w:r>
      <w:r w:rsidR="0019301C">
        <w:rPr>
          <w:rFonts w:ascii="Times New Roman" w:hAnsi="Times New Roman" w:cs="Times New Roman"/>
          <w:sz w:val="28"/>
          <w:szCs w:val="28"/>
        </w:rPr>
        <w:br/>
      </w:r>
      <w:r w:rsidR="000F6C9C" w:rsidRPr="000F6C9C">
        <w:rPr>
          <w:rFonts w:ascii="Times New Roman" w:hAnsi="Times New Roman" w:cs="Times New Roman"/>
          <w:sz w:val="28"/>
          <w:szCs w:val="28"/>
        </w:rPr>
        <w:t>ИП Бадалов Р.Ф.о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признаются эффективными. 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392CEA" w:rsidRPr="000F6C9C" w:rsidRDefault="00392CEA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>оценки эффективности стимулирующих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0F6C9C" w:rsidRPr="000F6C9C">
        <w:rPr>
          <w:b/>
          <w:bCs/>
        </w:rPr>
        <w:t>Вольск</w:t>
      </w:r>
    </w:p>
    <w:p w:rsidR="006E22D8" w:rsidRPr="000F6C9C" w:rsidRDefault="006E22D8" w:rsidP="00392CEA">
      <w:pPr>
        <w:rPr>
          <w:rFonts w:ascii="Times New Roman" w:hAnsi="Times New Roman" w:cs="Times New Roman"/>
          <w:sz w:val="28"/>
          <w:szCs w:val="28"/>
        </w:rPr>
      </w:pPr>
    </w:p>
    <w:p w:rsidR="00A67760" w:rsidRPr="000F6C9C" w:rsidRDefault="00392CEA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в отношении субъекта инвестиционной деятельности — </w:t>
      </w:r>
      <w:r w:rsidR="000F6C9C" w:rsidRPr="000F6C9C">
        <w:rPr>
          <w:rFonts w:ascii="Times New Roman" w:hAnsi="Times New Roman" w:cs="Times New Roman"/>
          <w:sz w:val="28"/>
          <w:szCs w:val="28"/>
        </w:rPr>
        <w:t xml:space="preserve">ИП Бадалов Р.Ф.о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0F6C9C" w:rsidRPr="000F6C9C">
        <w:rPr>
          <w:rFonts w:ascii="Times New Roman" w:hAnsi="Times New Roman" w:cs="Times New Roman"/>
          <w:bCs/>
          <w:sz w:val="28"/>
          <w:szCs w:val="28"/>
        </w:rPr>
        <w:t>Вольского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</w:t>
      </w:r>
      <w:r w:rsidR="00E27570" w:rsidRPr="000F6C9C">
        <w:rPr>
          <w:rFonts w:ascii="Times New Roman" w:hAnsi="Times New Roman" w:cs="Times New Roman"/>
          <w:bCs/>
          <w:sz w:val="28"/>
          <w:szCs w:val="28"/>
        </w:rPr>
        <w:t xml:space="preserve"> по развитию конкурентоспособности  экономики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392CEA" w:rsidRPr="000F6C9C" w:rsidRDefault="00A67760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П</w:t>
      </w:r>
      <w:r w:rsidR="006E22D8" w:rsidRPr="000F6C9C">
        <w:rPr>
          <w:rFonts w:ascii="Times New Roman" w:hAnsi="Times New Roman" w:cs="Times New Roman"/>
          <w:sz w:val="28"/>
          <w:szCs w:val="28"/>
        </w:rPr>
        <w:t xml:space="preserve">ринимая во внимание высокую социальную и экономическую эффективность проекта, </w:t>
      </w:r>
      <w:r w:rsidR="00392CEA" w:rsidRPr="000F6C9C">
        <w:rPr>
          <w:rFonts w:ascii="Times New Roman" w:hAnsi="Times New Roman" w:cs="Times New Roman"/>
          <w:sz w:val="28"/>
          <w:szCs w:val="28"/>
        </w:rPr>
        <w:t>налоговые расходы за 20</w:t>
      </w:r>
      <w:r w:rsidR="0036117B">
        <w:rPr>
          <w:rFonts w:ascii="Times New Roman" w:hAnsi="Times New Roman" w:cs="Times New Roman"/>
          <w:sz w:val="28"/>
          <w:szCs w:val="28"/>
        </w:rPr>
        <w:t>2</w:t>
      </w:r>
      <w:r w:rsidR="007D7C33">
        <w:rPr>
          <w:rFonts w:ascii="Times New Roman" w:hAnsi="Times New Roman" w:cs="Times New Roman"/>
          <w:sz w:val="28"/>
          <w:szCs w:val="28"/>
        </w:rPr>
        <w:t>2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год в отношении субъекта инвестиционной деятельности — </w:t>
      </w:r>
      <w:r w:rsidR="000F6C9C" w:rsidRPr="000F6C9C">
        <w:rPr>
          <w:rFonts w:ascii="Times New Roman" w:hAnsi="Times New Roman" w:cs="Times New Roman"/>
          <w:sz w:val="28"/>
          <w:szCs w:val="28"/>
        </w:rPr>
        <w:t xml:space="preserve">ИП Бадалов Р.Ф.о </w:t>
      </w:r>
      <w:r w:rsidR="00392CEA" w:rsidRPr="000F6C9C">
        <w:rPr>
          <w:rFonts w:ascii="Times New Roman" w:hAnsi="Times New Roman" w:cs="Times New Roman"/>
          <w:sz w:val="28"/>
          <w:szCs w:val="28"/>
        </w:rPr>
        <w:t>признаются эффективными</w:t>
      </w:r>
      <w:r w:rsidRPr="000F6C9C">
        <w:rPr>
          <w:rFonts w:ascii="Times New Roman" w:hAnsi="Times New Roman" w:cs="Times New Roman"/>
          <w:sz w:val="28"/>
          <w:szCs w:val="28"/>
        </w:rPr>
        <w:t xml:space="preserve"> и не требующими отмены.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1C0174" w:rsidRDefault="001C0174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Начальник управления экономики, </w:t>
      </w:r>
    </w:p>
    <w:p w:rsidR="000F6C9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промышленности и инвестиционной </w:t>
      </w:r>
    </w:p>
    <w:p w:rsidR="0019301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>деятельности</w:t>
      </w:r>
      <w:r w:rsidR="0019301C" w:rsidRPr="0019301C">
        <w:rPr>
          <w:color w:val="000000" w:themeColor="text1"/>
        </w:rPr>
        <w:t xml:space="preserve">администрации </w:t>
      </w:r>
      <w:r w:rsidRPr="0019301C">
        <w:rPr>
          <w:color w:val="000000" w:themeColor="text1"/>
        </w:rPr>
        <w:t>Вольского</w:t>
      </w:r>
    </w:p>
    <w:p w:rsidR="009A78FF" w:rsidRPr="0019301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муниципального района                      </w:t>
      </w:r>
      <w:r w:rsidR="000F6C9C" w:rsidRPr="0019301C">
        <w:rPr>
          <w:color w:val="000000" w:themeColor="text1"/>
        </w:rPr>
        <w:t>С.В. Зеленова</w:t>
      </w: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36117B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01 сентября</w:t>
      </w:r>
      <w:r w:rsidR="000F6C9C" w:rsidRPr="0019301C">
        <w:rPr>
          <w:color w:val="000000" w:themeColor="text1"/>
        </w:rPr>
        <w:t xml:space="preserve">  202</w:t>
      </w:r>
      <w:r w:rsidR="007D7C33">
        <w:rPr>
          <w:color w:val="000000" w:themeColor="text1"/>
        </w:rPr>
        <w:t>3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B96A9A">
          <w:pgSz w:w="11900" w:h="16840"/>
          <w:pgMar w:top="340" w:right="567" w:bottom="340" w:left="1134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Pr="00787D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</w:t>
      </w:r>
      <w:r w:rsidR="00522A09">
        <w:rPr>
          <w:rFonts w:ascii="Times New Roman" w:hAnsi="Times New Roman" w:cs="Times New Roman"/>
          <w:b/>
          <w:sz w:val="28"/>
          <w:szCs w:val="28"/>
        </w:rPr>
        <w:t>Вольск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 по причинепредоставления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611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E40C3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D45D85">
              <w:rPr>
                <w:b/>
                <w:szCs w:val="24"/>
              </w:rPr>
              <w:t>2</w:t>
            </w:r>
            <w:r w:rsidR="00E40C38">
              <w:rPr>
                <w:b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D45D85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</w:t>
            </w:r>
            <w:r w:rsidR="00E40C38">
              <w:rPr>
                <w:b/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1771F6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пенсионеры</w:t>
            </w:r>
            <w:r>
              <w:rPr>
                <w:rFonts w:ascii="Times New Roman" w:hAnsi="Times New Roman" w:cs="Times New Roman"/>
                <w:b/>
              </w:rPr>
              <w:t>, ветераны и инвалиды ВОВ, родители (усыновители) в семьях, признанных многодетными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1C3BA6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2859430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2911024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2859430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2911024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астичномосвобождении от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1771F6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Default="00E40C38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6661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6964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Pr="00A00659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3</w:t>
            </w:r>
            <w:r>
              <w:rPr>
                <w:szCs w:val="24"/>
              </w:rPr>
              <w:t>411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6124B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3571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40C38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9324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9449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4003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4086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00659" w:rsidTr="00C30169">
        <w:tc>
          <w:tcPr>
            <w:tcW w:w="567" w:type="dxa"/>
            <w:vAlign w:val="center"/>
          </w:tcPr>
          <w:p w:rsidR="00E40C38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43,2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15735" w:type="dxa"/>
            <w:gridSpan w:val="6"/>
            <w:vAlign w:val="center"/>
          </w:tcPr>
          <w:p w:rsidR="00D45D85" w:rsidRPr="00522A09" w:rsidRDefault="00D45D85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D45D85" w:rsidRPr="00522A09" w:rsidRDefault="00D45D85" w:rsidP="00522A0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>Наименование льготной категории получателей налоговых льгот: налогоплательщики (органы местного самоуправления и муниципальные учреждениям), финансируемы</w:t>
            </w:r>
            <w:r>
              <w:rPr>
                <w:rFonts w:ascii="Times New Roman" w:hAnsi="Times New Roman" w:cs="Times New Roman"/>
                <w:b/>
                <w:color w:val="auto"/>
              </w:rPr>
              <w:t>е</w:t>
            </w: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 за счет средств бюджетов различных уровней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Pr="009E54E4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522A09" w:rsidRDefault="00D45D8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Вид налоговой льготы: 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1157805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1075233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1066117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1026292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астичномосвобождении от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1771F6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1771F6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применениипониженной ставки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9594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5504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D1560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E40C38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</w:t>
            </w:r>
            <w:r>
              <w:rPr>
                <w:szCs w:val="24"/>
              </w:rPr>
              <w:t>53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E40C38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</w:t>
            </w:r>
            <w:r>
              <w:rPr>
                <w:szCs w:val="24"/>
              </w:rPr>
              <w:t>50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29,4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15735" w:type="dxa"/>
            <w:gridSpan w:val="6"/>
            <w:vAlign w:val="center"/>
          </w:tcPr>
          <w:p w:rsidR="00D45D85" w:rsidRPr="002906EF" w:rsidRDefault="00D45D85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Стимулирующие налоговые расходы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D45D85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D45D85" w:rsidRPr="002906EF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EF">
              <w:rPr>
                <w:rFonts w:ascii="Times New Roman" w:hAnsi="Times New Roman" w:cs="Times New Roman"/>
              </w:rPr>
              <w:t>организации-инвесторы,</w:t>
            </w:r>
            <w:r w:rsidRPr="002906E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на территории муниципального образования город Вольск и заключившим инвестиционный договор с уполномоченным органом (комитет инвестиционной политики и имущественных отношений Саратовской области) на время действия инвестиционного договора, а также организации-инвесторы, являющиеся стороной специального инвестиционного контракта, в течение срока действия специального инвестиционного контракта;</w:t>
            </w:r>
          </w:p>
          <w:p w:rsidR="00D45D85" w:rsidRPr="002906EF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EF">
              <w:rPr>
                <w:rFonts w:ascii="Times New Roman" w:hAnsi="Times New Roman" w:cs="Times New Roman"/>
                <w:sz w:val="24"/>
                <w:szCs w:val="24"/>
              </w:rPr>
              <w:t>организации, являющиеся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и (или) областного бюджета, в отношении земельных участков, выделенных под строительство (реконструкцию) указанных объектов.</w:t>
            </w:r>
          </w:p>
          <w:p w:rsidR="00D45D85" w:rsidRPr="002906EF" w:rsidRDefault="00D45D8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2906EF" w:rsidRDefault="00D45D8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4017235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3986257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E60567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3925547</w:t>
            </w:r>
          </w:p>
        </w:tc>
        <w:tc>
          <w:tcPr>
            <w:tcW w:w="2695" w:type="dxa"/>
            <w:vAlign w:val="center"/>
          </w:tcPr>
          <w:p w:rsidR="00E40C38" w:rsidRPr="00E60567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3937316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астичномосвобождении от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применениипониженной ставки</w:t>
            </w:r>
          </w:p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522A0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2695" w:type="dxa"/>
            <w:vAlign w:val="center"/>
          </w:tcPr>
          <w:p w:rsidR="00E40C38" w:rsidRPr="00522A09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9594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29,3</w:t>
            </w:r>
            <w:r>
              <w:rPr>
                <w:szCs w:val="24"/>
              </w:rPr>
              <w:t>*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9E45CD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29,3</w:t>
            </w:r>
            <w:r>
              <w:rPr>
                <w:szCs w:val="24"/>
              </w:rPr>
              <w:t>*</w:t>
            </w:r>
          </w:p>
        </w:tc>
        <w:tc>
          <w:tcPr>
            <w:tcW w:w="3401" w:type="dxa"/>
            <w:vAlign w:val="center"/>
          </w:tcPr>
          <w:p w:rsidR="00E40C38" w:rsidRDefault="00E40C3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данные за 2019 год</w:t>
            </w:r>
          </w:p>
          <w:p w:rsidR="00E40C38" w:rsidRDefault="00E40C3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 за 2022 год данные    </w:t>
            </w:r>
          </w:p>
          <w:p w:rsidR="00E40C38" w:rsidRPr="009E45CD" w:rsidRDefault="00E40C3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отсутствуют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E40C38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  <w:r>
              <w:rPr>
                <w:szCs w:val="24"/>
              </w:rPr>
              <w:t>53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E40C38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  <w:r>
              <w:rPr>
                <w:szCs w:val="24"/>
              </w:rPr>
              <w:t>50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2906EF" w:rsidRDefault="00E40C38" w:rsidP="00F810BE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0,6</w:t>
            </w:r>
          </w:p>
        </w:tc>
        <w:tc>
          <w:tcPr>
            <w:tcW w:w="2695" w:type="dxa"/>
            <w:vAlign w:val="center"/>
          </w:tcPr>
          <w:p w:rsidR="00E40C38" w:rsidRPr="002906EF" w:rsidRDefault="00E40C38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0,6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8A6542">
        <w:tc>
          <w:tcPr>
            <w:tcW w:w="15735" w:type="dxa"/>
            <w:gridSpan w:val="6"/>
          </w:tcPr>
          <w:p w:rsidR="00D45D85" w:rsidRPr="00AB3811" w:rsidRDefault="00D45D85" w:rsidP="008A6542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Налог</w:t>
            </w:r>
            <w:r>
              <w:rPr>
                <w:b/>
                <w:sz w:val="28"/>
                <w:szCs w:val="28"/>
              </w:rPr>
              <w:t xml:space="preserve"> на имущество физических лиц</w:t>
            </w:r>
          </w:p>
        </w:tc>
      </w:tr>
      <w:tr w:rsidR="00D45D85" w:rsidRPr="00AB3811" w:rsidTr="008A6542">
        <w:tc>
          <w:tcPr>
            <w:tcW w:w="15735" w:type="dxa"/>
            <w:gridSpan w:val="6"/>
          </w:tcPr>
          <w:p w:rsidR="00D45D85" w:rsidRPr="00AA5A06" w:rsidRDefault="00D45D85" w:rsidP="008A654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D45D85" w:rsidRPr="00AB3811" w:rsidTr="008A6542">
        <w:tc>
          <w:tcPr>
            <w:tcW w:w="567" w:type="dxa"/>
            <w:vAlign w:val="center"/>
          </w:tcPr>
          <w:p w:rsidR="00D45D85" w:rsidRPr="00A00659" w:rsidRDefault="00D45D85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D45D85" w:rsidRPr="000A2EA6" w:rsidRDefault="00D45D85" w:rsidP="000A2EA6">
            <w:pPr>
              <w:spacing w:before="3"/>
              <w:ind w:left="1" w:right="-19" w:firstLine="56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3811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пенсионеры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A2EA6">
              <w:rPr>
                <w:rFonts w:ascii="Times New Roman" w:hAnsi="Times New Roman" w:cs="Times New Roman"/>
                <w:b/>
                <w:color w:val="000000" w:themeColor="text1"/>
              </w:rPr>
              <w:t>Почетные граждане Земли Вольской,</w:t>
            </w:r>
          </w:p>
          <w:p w:rsidR="00D45D85" w:rsidRPr="00AB3811" w:rsidRDefault="00D45D85" w:rsidP="000A2EA6">
            <w:pPr>
              <w:widowControl/>
              <w:rPr>
                <w:rFonts w:ascii="Times New Roman" w:hAnsi="Times New Roman" w:cs="Times New Roman"/>
                <w:b/>
              </w:rPr>
            </w:pPr>
            <w:r w:rsidRPr="000A2E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лица, принимавшие участие в боевых действиях</w:t>
            </w:r>
            <w:r w:rsidRPr="000A2EA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родители (усыновители) в семьях, признанных многодетными</w:t>
            </w:r>
          </w:p>
        </w:tc>
      </w:tr>
      <w:tr w:rsidR="00D45D85" w:rsidRPr="00AB3811" w:rsidTr="008A6542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C30169" w:rsidRDefault="00D45D85" w:rsidP="00C30169">
            <w:pPr>
              <w:widowControl/>
              <w:rPr>
                <w:rFonts w:ascii="Times New Roman" w:hAnsi="Times New Roman" w:cs="Times New Roman"/>
                <w:b/>
              </w:rPr>
            </w:pPr>
            <w:r w:rsidRPr="00C30169">
              <w:rPr>
                <w:rFonts w:ascii="Times New Roman" w:hAnsi="Times New Roman" w:cs="Times New Roman"/>
                <w:b/>
              </w:rPr>
              <w:t>Вид налоговой льготы: 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8A6542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13</w:t>
            </w:r>
            <w:r>
              <w:rPr>
                <w:szCs w:val="24"/>
              </w:rPr>
              <w:t>721917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E40C38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</w:t>
            </w:r>
            <w:r>
              <w:rPr>
                <w:szCs w:val="24"/>
              </w:rPr>
              <w:t>4163527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color w:val="FF0000"/>
                <w:szCs w:val="24"/>
              </w:rPr>
            </w:pPr>
            <w:r w:rsidRPr="00C30169">
              <w:rPr>
                <w:szCs w:val="24"/>
              </w:rPr>
              <w:t>13</w:t>
            </w:r>
            <w:r>
              <w:rPr>
                <w:szCs w:val="24"/>
              </w:rPr>
              <w:t>721917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2B652E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8694916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астичномосвобождении от</w:t>
            </w:r>
          </w:p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8A6542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18353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24349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Pr="00A00659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10765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11610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40C38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33125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33294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13141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13656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C38" w:rsidRPr="00AB3811" w:rsidTr="00C30169">
        <w:tc>
          <w:tcPr>
            <w:tcW w:w="567" w:type="dxa"/>
            <w:vAlign w:val="center"/>
          </w:tcPr>
          <w:p w:rsidR="00E40C38" w:rsidRDefault="00E40C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40C38" w:rsidRPr="00A00659" w:rsidRDefault="00E40C38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E40C38" w:rsidRPr="006010BC" w:rsidRDefault="00E40C38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40C38" w:rsidRPr="00C30169" w:rsidRDefault="00E40C38" w:rsidP="00F810BE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39</w:t>
            </w:r>
            <w:r>
              <w:rPr>
                <w:szCs w:val="24"/>
              </w:rPr>
              <w:t>,7</w:t>
            </w:r>
          </w:p>
        </w:tc>
        <w:tc>
          <w:tcPr>
            <w:tcW w:w="2695" w:type="dxa"/>
            <w:vAlign w:val="center"/>
          </w:tcPr>
          <w:p w:rsidR="00E40C38" w:rsidRPr="00C30169" w:rsidRDefault="00E40C38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401" w:type="dxa"/>
            <w:vAlign w:val="center"/>
          </w:tcPr>
          <w:p w:rsidR="00E40C38" w:rsidRPr="00AB3811" w:rsidRDefault="00E40C38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9F" w:rsidRDefault="0038209F" w:rsidP="00BD5DD4">
      <w:r>
        <w:separator/>
      </w:r>
    </w:p>
  </w:endnote>
  <w:endnote w:type="continuationSeparator" w:id="1">
    <w:p w:rsidR="0038209F" w:rsidRDefault="0038209F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9F" w:rsidRDefault="0038209F"/>
  </w:footnote>
  <w:footnote w:type="continuationSeparator" w:id="1">
    <w:p w:rsidR="0038209F" w:rsidRDefault="003820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705E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D736F"/>
    <w:rsid w:val="000E2707"/>
    <w:rsid w:val="000F1D52"/>
    <w:rsid w:val="000F6C9C"/>
    <w:rsid w:val="000F7126"/>
    <w:rsid w:val="00122FF0"/>
    <w:rsid w:val="00144024"/>
    <w:rsid w:val="00147EFB"/>
    <w:rsid w:val="00167390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2E75"/>
    <w:rsid w:val="00203220"/>
    <w:rsid w:val="00205781"/>
    <w:rsid w:val="00215FC4"/>
    <w:rsid w:val="002203A0"/>
    <w:rsid w:val="00230DCD"/>
    <w:rsid w:val="002310B6"/>
    <w:rsid w:val="0023642A"/>
    <w:rsid w:val="00237C49"/>
    <w:rsid w:val="002410BD"/>
    <w:rsid w:val="00247906"/>
    <w:rsid w:val="00257AAF"/>
    <w:rsid w:val="00264C04"/>
    <w:rsid w:val="00272F02"/>
    <w:rsid w:val="00274237"/>
    <w:rsid w:val="00282C5D"/>
    <w:rsid w:val="00284A4A"/>
    <w:rsid w:val="002906EF"/>
    <w:rsid w:val="0029174A"/>
    <w:rsid w:val="00294607"/>
    <w:rsid w:val="002A4DF0"/>
    <w:rsid w:val="002B16A2"/>
    <w:rsid w:val="002B3B0E"/>
    <w:rsid w:val="002B47CD"/>
    <w:rsid w:val="002B652E"/>
    <w:rsid w:val="002C2F02"/>
    <w:rsid w:val="002C735D"/>
    <w:rsid w:val="002D2018"/>
    <w:rsid w:val="002D3030"/>
    <w:rsid w:val="002D4846"/>
    <w:rsid w:val="002D4B61"/>
    <w:rsid w:val="002D645A"/>
    <w:rsid w:val="002E52CE"/>
    <w:rsid w:val="002F6CF0"/>
    <w:rsid w:val="0030469E"/>
    <w:rsid w:val="0031156C"/>
    <w:rsid w:val="00311A50"/>
    <w:rsid w:val="00313408"/>
    <w:rsid w:val="003154FE"/>
    <w:rsid w:val="00323158"/>
    <w:rsid w:val="00324BD1"/>
    <w:rsid w:val="0034665B"/>
    <w:rsid w:val="00355C9C"/>
    <w:rsid w:val="00356312"/>
    <w:rsid w:val="0036117B"/>
    <w:rsid w:val="00361A5F"/>
    <w:rsid w:val="00367BE1"/>
    <w:rsid w:val="0038209F"/>
    <w:rsid w:val="00384357"/>
    <w:rsid w:val="003847FF"/>
    <w:rsid w:val="00392CEA"/>
    <w:rsid w:val="003B1187"/>
    <w:rsid w:val="003C2804"/>
    <w:rsid w:val="003C2E27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7305B"/>
    <w:rsid w:val="00487F92"/>
    <w:rsid w:val="0049381D"/>
    <w:rsid w:val="00497819"/>
    <w:rsid w:val="004A417F"/>
    <w:rsid w:val="004B3E7D"/>
    <w:rsid w:val="004B6543"/>
    <w:rsid w:val="004B6946"/>
    <w:rsid w:val="004C16AF"/>
    <w:rsid w:val="004C35A4"/>
    <w:rsid w:val="004C3F66"/>
    <w:rsid w:val="004C504D"/>
    <w:rsid w:val="004C5C9E"/>
    <w:rsid w:val="004D23AF"/>
    <w:rsid w:val="004D3A22"/>
    <w:rsid w:val="004E2B24"/>
    <w:rsid w:val="004E46D7"/>
    <w:rsid w:val="004F053B"/>
    <w:rsid w:val="004F7817"/>
    <w:rsid w:val="00501269"/>
    <w:rsid w:val="005015A7"/>
    <w:rsid w:val="00503BE8"/>
    <w:rsid w:val="00504F28"/>
    <w:rsid w:val="005101A7"/>
    <w:rsid w:val="00510D27"/>
    <w:rsid w:val="00521514"/>
    <w:rsid w:val="0052208D"/>
    <w:rsid w:val="00522A09"/>
    <w:rsid w:val="0052342F"/>
    <w:rsid w:val="005273F6"/>
    <w:rsid w:val="0053027E"/>
    <w:rsid w:val="005447D7"/>
    <w:rsid w:val="00547454"/>
    <w:rsid w:val="00557CEB"/>
    <w:rsid w:val="00564ECA"/>
    <w:rsid w:val="00576F60"/>
    <w:rsid w:val="0058109D"/>
    <w:rsid w:val="00582803"/>
    <w:rsid w:val="00584EB9"/>
    <w:rsid w:val="00587424"/>
    <w:rsid w:val="00587AA5"/>
    <w:rsid w:val="00591432"/>
    <w:rsid w:val="005922B9"/>
    <w:rsid w:val="005963F8"/>
    <w:rsid w:val="005A15BC"/>
    <w:rsid w:val="005B6DD3"/>
    <w:rsid w:val="005C02A6"/>
    <w:rsid w:val="005D12C7"/>
    <w:rsid w:val="005D1D5A"/>
    <w:rsid w:val="005D4926"/>
    <w:rsid w:val="005E1924"/>
    <w:rsid w:val="005E3AFC"/>
    <w:rsid w:val="005E76CB"/>
    <w:rsid w:val="005F2591"/>
    <w:rsid w:val="006010BC"/>
    <w:rsid w:val="00611F27"/>
    <w:rsid w:val="006124B0"/>
    <w:rsid w:val="0061570D"/>
    <w:rsid w:val="00620274"/>
    <w:rsid w:val="0062279A"/>
    <w:rsid w:val="00623765"/>
    <w:rsid w:val="006302B5"/>
    <w:rsid w:val="00632ECA"/>
    <w:rsid w:val="006421F9"/>
    <w:rsid w:val="0064312D"/>
    <w:rsid w:val="00643BF9"/>
    <w:rsid w:val="006510B7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7D1C"/>
    <w:rsid w:val="00774ECC"/>
    <w:rsid w:val="00780F12"/>
    <w:rsid w:val="00785684"/>
    <w:rsid w:val="00795A13"/>
    <w:rsid w:val="00797B53"/>
    <w:rsid w:val="007B42C9"/>
    <w:rsid w:val="007B5832"/>
    <w:rsid w:val="007C14E2"/>
    <w:rsid w:val="007D1D38"/>
    <w:rsid w:val="007D4DEC"/>
    <w:rsid w:val="007D7C3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6170A"/>
    <w:rsid w:val="00870C13"/>
    <w:rsid w:val="00875886"/>
    <w:rsid w:val="00876B38"/>
    <w:rsid w:val="00884D20"/>
    <w:rsid w:val="00890D64"/>
    <w:rsid w:val="00891D44"/>
    <w:rsid w:val="00894D99"/>
    <w:rsid w:val="00897AE0"/>
    <w:rsid w:val="008A1942"/>
    <w:rsid w:val="008A5316"/>
    <w:rsid w:val="008A58BD"/>
    <w:rsid w:val="008A6542"/>
    <w:rsid w:val="008A7D07"/>
    <w:rsid w:val="008A7D35"/>
    <w:rsid w:val="008B67EA"/>
    <w:rsid w:val="008B7D4A"/>
    <w:rsid w:val="008C4910"/>
    <w:rsid w:val="008C673C"/>
    <w:rsid w:val="008C6DB9"/>
    <w:rsid w:val="008D2800"/>
    <w:rsid w:val="008D76A5"/>
    <w:rsid w:val="008E29AA"/>
    <w:rsid w:val="008F1D4A"/>
    <w:rsid w:val="00903D40"/>
    <w:rsid w:val="00927CAA"/>
    <w:rsid w:val="00933D4E"/>
    <w:rsid w:val="00947A6D"/>
    <w:rsid w:val="0095058E"/>
    <w:rsid w:val="009648C9"/>
    <w:rsid w:val="009729B8"/>
    <w:rsid w:val="00973AF4"/>
    <w:rsid w:val="009742A3"/>
    <w:rsid w:val="00982900"/>
    <w:rsid w:val="009A0643"/>
    <w:rsid w:val="009A78FF"/>
    <w:rsid w:val="009B6478"/>
    <w:rsid w:val="009C0A68"/>
    <w:rsid w:val="009C1EB3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7276"/>
    <w:rsid w:val="00A21512"/>
    <w:rsid w:val="00A27749"/>
    <w:rsid w:val="00A352F4"/>
    <w:rsid w:val="00A446C8"/>
    <w:rsid w:val="00A52930"/>
    <w:rsid w:val="00A5351A"/>
    <w:rsid w:val="00A5410F"/>
    <w:rsid w:val="00A56202"/>
    <w:rsid w:val="00A572F3"/>
    <w:rsid w:val="00A60A8D"/>
    <w:rsid w:val="00A66D5D"/>
    <w:rsid w:val="00A67760"/>
    <w:rsid w:val="00A67EE0"/>
    <w:rsid w:val="00A77DC5"/>
    <w:rsid w:val="00A959DC"/>
    <w:rsid w:val="00AA457C"/>
    <w:rsid w:val="00AB7613"/>
    <w:rsid w:val="00AC046F"/>
    <w:rsid w:val="00AD3D9A"/>
    <w:rsid w:val="00AE2996"/>
    <w:rsid w:val="00AE6F90"/>
    <w:rsid w:val="00AF0AEC"/>
    <w:rsid w:val="00AF4B04"/>
    <w:rsid w:val="00B00F50"/>
    <w:rsid w:val="00B029CA"/>
    <w:rsid w:val="00B11188"/>
    <w:rsid w:val="00B20582"/>
    <w:rsid w:val="00B33F5E"/>
    <w:rsid w:val="00B351B6"/>
    <w:rsid w:val="00B41E61"/>
    <w:rsid w:val="00B44670"/>
    <w:rsid w:val="00B542F6"/>
    <w:rsid w:val="00B67A40"/>
    <w:rsid w:val="00B82898"/>
    <w:rsid w:val="00B82F0C"/>
    <w:rsid w:val="00B92FEE"/>
    <w:rsid w:val="00B933AD"/>
    <w:rsid w:val="00B9379F"/>
    <w:rsid w:val="00B94C67"/>
    <w:rsid w:val="00B9692E"/>
    <w:rsid w:val="00B96A9A"/>
    <w:rsid w:val="00B9746E"/>
    <w:rsid w:val="00BA55D9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4382E"/>
    <w:rsid w:val="00C52983"/>
    <w:rsid w:val="00C53C2F"/>
    <w:rsid w:val="00C62E85"/>
    <w:rsid w:val="00C70CD9"/>
    <w:rsid w:val="00C739A4"/>
    <w:rsid w:val="00C75515"/>
    <w:rsid w:val="00C807E8"/>
    <w:rsid w:val="00C82965"/>
    <w:rsid w:val="00C8366D"/>
    <w:rsid w:val="00C94931"/>
    <w:rsid w:val="00C94BD3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7347"/>
    <w:rsid w:val="00CF067F"/>
    <w:rsid w:val="00CF1D8C"/>
    <w:rsid w:val="00CF7500"/>
    <w:rsid w:val="00D1560B"/>
    <w:rsid w:val="00D23A3E"/>
    <w:rsid w:val="00D25196"/>
    <w:rsid w:val="00D26CCA"/>
    <w:rsid w:val="00D36759"/>
    <w:rsid w:val="00D45D85"/>
    <w:rsid w:val="00D53125"/>
    <w:rsid w:val="00D5372E"/>
    <w:rsid w:val="00D55BCE"/>
    <w:rsid w:val="00D56172"/>
    <w:rsid w:val="00D6431D"/>
    <w:rsid w:val="00D67993"/>
    <w:rsid w:val="00D71908"/>
    <w:rsid w:val="00D7442A"/>
    <w:rsid w:val="00DA0FC9"/>
    <w:rsid w:val="00DA1134"/>
    <w:rsid w:val="00DB0AD4"/>
    <w:rsid w:val="00DB4C1E"/>
    <w:rsid w:val="00DB7ECB"/>
    <w:rsid w:val="00DD2469"/>
    <w:rsid w:val="00DE5D5C"/>
    <w:rsid w:val="00DE723A"/>
    <w:rsid w:val="00DF784D"/>
    <w:rsid w:val="00E004FF"/>
    <w:rsid w:val="00E0211E"/>
    <w:rsid w:val="00E07AEA"/>
    <w:rsid w:val="00E1285E"/>
    <w:rsid w:val="00E14301"/>
    <w:rsid w:val="00E24835"/>
    <w:rsid w:val="00E26CC8"/>
    <w:rsid w:val="00E27570"/>
    <w:rsid w:val="00E369A8"/>
    <w:rsid w:val="00E36E60"/>
    <w:rsid w:val="00E405A5"/>
    <w:rsid w:val="00E40C38"/>
    <w:rsid w:val="00E43717"/>
    <w:rsid w:val="00E4589C"/>
    <w:rsid w:val="00E60567"/>
    <w:rsid w:val="00E62300"/>
    <w:rsid w:val="00E7155B"/>
    <w:rsid w:val="00E741A1"/>
    <w:rsid w:val="00EA0FA4"/>
    <w:rsid w:val="00EA1C7E"/>
    <w:rsid w:val="00EA5CF8"/>
    <w:rsid w:val="00EB2808"/>
    <w:rsid w:val="00EB480D"/>
    <w:rsid w:val="00EB702D"/>
    <w:rsid w:val="00ED0722"/>
    <w:rsid w:val="00ED2513"/>
    <w:rsid w:val="00ED2624"/>
    <w:rsid w:val="00ED662E"/>
    <w:rsid w:val="00EE2450"/>
    <w:rsid w:val="00EE6682"/>
    <w:rsid w:val="00EE6767"/>
    <w:rsid w:val="00F04603"/>
    <w:rsid w:val="00F061D7"/>
    <w:rsid w:val="00F16761"/>
    <w:rsid w:val="00F16E8D"/>
    <w:rsid w:val="00F21D89"/>
    <w:rsid w:val="00F316CA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810BE"/>
    <w:rsid w:val="00F85D3F"/>
    <w:rsid w:val="00F87023"/>
    <w:rsid w:val="00F936E9"/>
    <w:rsid w:val="00F93F78"/>
    <w:rsid w:val="00F94C1E"/>
    <w:rsid w:val="00F97F00"/>
    <w:rsid w:val="00FA00AD"/>
    <w:rsid w:val="00FA1449"/>
    <w:rsid w:val="00FB0E7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EBC6-C141-42F7-92C2-56A7FB0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</dc:creator>
  <cp:lastModifiedBy>Пользователь Windows</cp:lastModifiedBy>
  <cp:revision>2</cp:revision>
  <cp:lastPrinted>2023-11-09T06:13:00Z</cp:lastPrinted>
  <dcterms:created xsi:type="dcterms:W3CDTF">2023-11-13T18:59:00Z</dcterms:created>
  <dcterms:modified xsi:type="dcterms:W3CDTF">2023-11-13T18:59:00Z</dcterms:modified>
</cp:coreProperties>
</file>