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14"/>
        <w:gridCol w:w="207"/>
        <w:gridCol w:w="4650"/>
      </w:tblGrid>
      <w:tr w:rsidR="008A4EBD" w:rsidRPr="00ED3AC5" w:rsidTr="00626633">
        <w:trPr>
          <w:trHeight w:val="30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8A4EBD" w:rsidRPr="00ED3AC5" w:rsidTr="00626633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374216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по управлению муниципальным имуществом и природными ресурсами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 49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тел. (884593)7-04-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92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, адрес электронной почты: </w:t>
            </w:r>
            <w:hyperlink r:id="rId5" w:history="1"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kymivolsk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42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8A4EBD" w:rsidRPr="00ED3AC5" w:rsidTr="00626633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36"/>
            </w:tblGrid>
            <w:tr w:rsidR="008A4EBD" w:rsidRPr="0031161B" w:rsidTr="00626633">
              <w:trPr>
                <w:trHeight w:val="322"/>
              </w:trPr>
              <w:tc>
                <w:tcPr>
                  <w:tcW w:w="736" w:type="dxa"/>
                </w:tcPr>
                <w:p w:rsidR="008A4EBD" w:rsidRPr="0031161B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31161B" w:rsidRPr="0031161B" w:rsidRDefault="008A4EBD" w:rsidP="0031161B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161B">
              <w:rPr>
                <w:rFonts w:ascii="Times New Roman" w:hAnsi="Times New Roman" w:cs="Times New Roman"/>
                <w:b w:val="0"/>
              </w:rPr>
              <w:t>Вид и наименование проекта нормативного правового акта: проект</w:t>
            </w:r>
            <w:r w:rsidRPr="0031161B">
              <w:rPr>
                <w:rFonts w:ascii="Times New Roman" w:hAnsi="Times New Roman" w:cs="Times New Roman"/>
              </w:rPr>
              <w:t xml:space="preserve"> </w:t>
            </w:r>
            <w:r w:rsidR="0031161B" w:rsidRPr="0031161B">
              <w:rPr>
                <w:rFonts w:ascii="Times New Roman" w:hAnsi="Times New Roman" w:cs="Times New Roman"/>
                <w:b w:val="0"/>
              </w:rPr>
              <w:t>решения Вольского муниципального Собрания Вольского муниципального района Саратовской области «</w:t>
            </w:r>
            <w:r w:rsidR="0031161B" w:rsidRPr="0031161B">
              <w:rPr>
                <w:rFonts w:ascii="Times New Roman" w:hAnsi="Times New Roman" w:cs="Times New Roman"/>
                <w:b w:val="0"/>
                <w:bCs w:val="0"/>
              </w:rPr>
              <w:t xml:space="preserve">Об утверждении перечня </w:t>
            </w:r>
            <w:r w:rsidR="0031161B" w:rsidRPr="0031161B">
              <w:rPr>
                <w:rFonts w:ascii="Times New Roman" w:hAnsi="Times New Roman" w:cs="Times New Roman"/>
                <w:b w:val="0"/>
              </w:rPr>
              <w:t>индикаторов риска нарушения обязательных требований</w:t>
            </w:r>
            <w:r w:rsidR="0031161B" w:rsidRPr="0031161B">
              <w:rPr>
                <w:rFonts w:ascii="Times New Roman" w:hAnsi="Times New Roman" w:cs="Times New Roman"/>
                <w:b w:val="0"/>
                <w:color w:val="000000"/>
                <w:lang w:bidi="ru-RU"/>
              </w:rPr>
              <w:t xml:space="preserve"> в сфере муниципального земельного контроля</w:t>
            </w:r>
            <w:r w:rsidR="0031161B" w:rsidRPr="0031161B">
              <w:rPr>
                <w:rFonts w:ascii="Times New Roman" w:hAnsi="Times New Roman" w:cs="Times New Roman"/>
                <w:b w:val="0"/>
                <w:bCs w:val="0"/>
              </w:rPr>
              <w:t xml:space="preserve"> на межселенной территории Вольского</w:t>
            </w:r>
            <w:r w:rsidR="0031161B" w:rsidRPr="0031161B">
              <w:rPr>
                <w:rFonts w:ascii="Times New Roman" w:hAnsi="Times New Roman" w:cs="Times New Roman"/>
                <w:b w:val="0"/>
              </w:rPr>
              <w:t xml:space="preserve"> </w:t>
            </w:r>
            <w:r w:rsidR="0031161B" w:rsidRPr="0031161B">
              <w:rPr>
                <w:rFonts w:ascii="Times New Roman" w:hAnsi="Times New Roman" w:cs="Times New Roman"/>
                <w:b w:val="0"/>
                <w:bCs w:val="0"/>
              </w:rPr>
              <w:t>муниципального района и сельских поселений, входящих в состав</w:t>
            </w:r>
            <w:r w:rsidR="0031161B" w:rsidRPr="0031161B">
              <w:rPr>
                <w:rFonts w:ascii="Times New Roman" w:hAnsi="Times New Roman" w:cs="Times New Roman"/>
                <w:b w:val="0"/>
              </w:rPr>
              <w:t xml:space="preserve"> </w:t>
            </w:r>
            <w:r w:rsidR="0031161B" w:rsidRPr="0031161B">
              <w:rPr>
                <w:rFonts w:ascii="Times New Roman" w:hAnsi="Times New Roman" w:cs="Times New Roman"/>
                <w:b w:val="0"/>
                <w:bCs w:val="0"/>
              </w:rPr>
              <w:t>Вольского муниципального района Саратовской области</w:t>
            </w:r>
            <w:r w:rsidR="0031161B" w:rsidRPr="0031161B">
              <w:rPr>
                <w:rFonts w:ascii="Times New Roman" w:hAnsi="Times New Roman" w:cs="Times New Roman"/>
                <w:b w:val="0"/>
              </w:rPr>
              <w:t>»</w:t>
            </w:r>
            <w:proofErr w:type="gramEnd"/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8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8A4EBD" w:rsidRPr="00ED3AC5" w:rsidTr="00626633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A4EBD" w:rsidRPr="00ED3AC5" w:rsidTr="00626633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  <w:p w:rsidR="008A4EBD" w:rsidRPr="008A4EBD" w:rsidRDefault="008A4EBD" w:rsidP="008A4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9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A4EBD">
              <w:rPr>
                <w:rFonts w:ascii="Times New Roman" w:hAnsi="Times New Roman" w:cs="Times New Roman"/>
                <w:sz w:val="20"/>
                <w:szCs w:val="20"/>
              </w:rPr>
              <w:t>Сентябрь-октябрь 2025 года</w:t>
            </w:r>
          </w:p>
        </w:tc>
      </w:tr>
      <w:tr w:rsidR="008A4EBD" w:rsidRPr="00ED3AC5" w:rsidTr="00626633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8A4EBD" w:rsidRPr="00ED3AC5" w:rsidTr="00626633">
              <w:trPr>
                <w:trHeight w:val="303"/>
              </w:trPr>
              <w:tc>
                <w:tcPr>
                  <w:tcW w:w="71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Краткое описание целей предлагаемого регулирования: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8A4EBD" w:rsidRDefault="008A4EBD" w:rsidP="008A4EBD">
            <w:pPr>
              <w:spacing w:after="0" w:line="240" w:lineRule="auto"/>
            </w:pPr>
          </w:p>
        </w:tc>
      </w:tr>
      <w:tr w:rsidR="008A4EBD" w:rsidRPr="00ED3AC5" w:rsidTr="00626633">
        <w:trPr>
          <w:trHeight w:val="64"/>
        </w:trPr>
        <w:tc>
          <w:tcPr>
            <w:tcW w:w="5000" w:type="pct"/>
            <w:gridSpan w:val="3"/>
          </w:tcPr>
          <w:p w:rsidR="008A4EBD" w:rsidRPr="00ED3AC5" w:rsidRDefault="008A4EBD" w:rsidP="0031161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1161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</w:t>
            </w:r>
            <w:r w:rsidR="0031161B" w:rsidRPr="0031161B">
              <w:rPr>
                <w:rFonts w:ascii="Times New Roman" w:hAnsi="Times New Roman" w:cs="Times New Roman"/>
                <w:sz w:val="20"/>
                <w:szCs w:val="20"/>
              </w:rPr>
              <w:t xml:space="preserve">решения Вольского муниципального Собрания Вольского муниципального района Саратовской области «Об утверждении </w:t>
            </w:r>
            <w:proofErr w:type="gramStart"/>
            <w:r w:rsidR="0031161B" w:rsidRPr="0031161B">
              <w:rPr>
                <w:rFonts w:ascii="Times New Roman" w:hAnsi="Times New Roman" w:cs="Times New Roman"/>
                <w:sz w:val="20"/>
                <w:szCs w:val="20"/>
              </w:rPr>
              <w:t>перечня индикаторов риска нарушения обязательных требований</w:t>
            </w:r>
            <w:proofErr w:type="gramEnd"/>
            <w:r w:rsidR="0031161B" w:rsidRPr="0031161B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в сфере муниципального земельного контроля</w:t>
            </w:r>
            <w:r w:rsidR="0031161B" w:rsidRPr="0031161B">
              <w:rPr>
                <w:rFonts w:ascii="Times New Roman" w:hAnsi="Times New Roman" w:cs="Times New Roman"/>
                <w:sz w:val="20"/>
                <w:szCs w:val="20"/>
              </w:rPr>
              <w:t xml:space="preserve"> на межселенной территории Вольского муниципального района и сельских поселений, входящих в состав Вольского муниципального района Саратовской области»</w:t>
            </w: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</w:t>
            </w:r>
            <w:proofErr w:type="gramStart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ф/regulatory/otsenka/info-soobshcheniya/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3AC5">
              <w:rPr>
                <w:sz w:val="20"/>
                <w:szCs w:val="20"/>
              </w:rPr>
              <w:t>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_____;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____.</w:t>
            </w:r>
          </w:p>
        </w:tc>
      </w:tr>
      <w:tr w:rsidR="008A4EBD" w:rsidRPr="00ED3AC5" w:rsidTr="00626633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</w:t>
            </w:r>
            <w:proofErr w:type="gramEnd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Жаров Денис Валерьевич</w:t>
            </w:r>
          </w:p>
          <w:p w:rsidR="008A4EBD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председателя комитета по управлению муниципальным имуществом и природными ресурсами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04-92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kymivolsk</w:t>
            </w:r>
            <w:proofErr w:type="spellEnd"/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rambler</w:t>
            </w:r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A4EBD" w:rsidRPr="00ED3AC5" w:rsidRDefault="008A4EBD" w:rsidP="008A4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85"/>
        <w:gridCol w:w="63"/>
        <w:gridCol w:w="569"/>
        <w:gridCol w:w="448"/>
        <w:gridCol w:w="1196"/>
        <w:gridCol w:w="369"/>
        <w:gridCol w:w="779"/>
        <w:gridCol w:w="390"/>
        <w:gridCol w:w="3172"/>
      </w:tblGrid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8A4EBD" w:rsidRPr="00ED3AC5" w:rsidTr="00626633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  <w:proofErr w:type="gramEnd"/>
          </w:p>
        </w:tc>
      </w:tr>
      <w:tr w:rsidR="008A4EBD" w:rsidRPr="00ED3AC5" w:rsidTr="00626633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8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Проект решения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8A4EBD" w:rsidRPr="00ED3AC5" w:rsidTr="00626633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проблемы, на решение которой направлен предлагаемый способ регулирования: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8A4EBD">
              <w:rPr>
                <w:sz w:val="20"/>
                <w:szCs w:val="20"/>
              </w:rPr>
              <w:t>Приведение в соответствие с требованиями действующего законодательства</w:t>
            </w: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 охраняемых законом ценностей и конкретных рисков причинения им вреда (ущерба)</w:t>
            </w:r>
            <w:proofErr w:type="gramEnd"/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Проект решения изменяет</w:t>
            </w:r>
            <w:r>
              <w:t xml:space="preserve"> </w:t>
            </w:r>
            <w:r w:rsidRPr="000874FE">
              <w:rPr>
                <w:sz w:val="20"/>
                <w:szCs w:val="20"/>
              </w:rPr>
              <w:t xml:space="preserve">предусмотренные </w:t>
            </w:r>
            <w:r>
              <w:rPr>
                <w:sz w:val="20"/>
                <w:szCs w:val="20"/>
              </w:rPr>
              <w:t xml:space="preserve">ранее </w:t>
            </w:r>
            <w:r w:rsidRPr="000874FE">
              <w:rPr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 проекта правового акта</w:t>
            </w:r>
            <w:proofErr w:type="gramEnd"/>
          </w:p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8A4EBD" w:rsidRPr="00ED3AC5" w:rsidTr="00626633">
        <w:trPr>
          <w:trHeight w:val="2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710"/>
        </w:trPr>
        <w:tc>
          <w:tcPr>
            <w:tcW w:w="5000" w:type="pct"/>
            <w:gridSpan w:val="9"/>
          </w:tcPr>
          <w:p w:rsidR="008A4EBD" w:rsidRPr="000F0556" w:rsidRDefault="008A4EBD" w:rsidP="008A4EB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>Перечень действующих нормативных  правовых актов Российской Федерации, саратовской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31 июля 2020 г. № 248-ФЗ «О государственном контроле (надзоре) и муниципальном контроле в Российской Федерации" (с изменениями и дополнениями),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26.12.2008 №294-ФЗ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24.07.2002 №101-ФЗ «Об обороте земель сельскохозяйственного назначения»,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Земельного</w:t>
            </w:r>
            <w:proofErr w:type="gramEnd"/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кодекса Российской Федерации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  <w:proofErr w:type="gramEnd"/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8A4EBD" w:rsidRPr="00ED3AC5" w:rsidTr="00626633">
        <w:trPr>
          <w:trHeight w:val="261"/>
        </w:trPr>
        <w:tc>
          <w:tcPr>
            <w:tcW w:w="1914" w:type="pct"/>
            <w:gridSpan w:val="4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FF7B99" w:rsidRPr="00ED3AC5" w:rsidTr="009744BD">
        <w:trPr>
          <w:trHeight w:val="261"/>
        </w:trPr>
        <w:tc>
          <w:tcPr>
            <w:tcW w:w="1" w:type="pct"/>
            <w:gridSpan w:val="9"/>
          </w:tcPr>
          <w:p w:rsidR="00FF7B99" w:rsidRPr="00ED3AC5" w:rsidRDefault="00FF7B99" w:rsidP="00FF7B9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8A4EBD" w:rsidRPr="00ED3AC5" w:rsidTr="00626633">
        <w:trPr>
          <w:trHeight w:val="11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8A4EBD" w:rsidRPr="00ED3AC5" w:rsidTr="00FF7B99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7437D3" w:rsidRDefault="008A4EBD" w:rsidP="008A4EBD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2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  <w:proofErr w:type="gramEnd"/>
          </w:p>
        </w:tc>
      </w:tr>
      <w:tr w:rsidR="008A4EBD" w:rsidRPr="00ED3AC5" w:rsidTr="00FF7B99">
        <w:trPr>
          <w:trHeight w:val="356"/>
        </w:trPr>
        <w:tc>
          <w:tcPr>
            <w:tcW w:w="5000" w:type="pct"/>
            <w:gridSpan w:val="9"/>
          </w:tcPr>
          <w:p w:rsidR="008A4EBD" w:rsidRPr="008A4EBD" w:rsidRDefault="008A4EBD" w:rsidP="008A4EBD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A4EBD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8A4EBD" w:rsidRPr="00ED3AC5" w:rsidTr="00626633">
        <w:trPr>
          <w:trHeight w:val="30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8A4EBD" w:rsidRPr="00ED3AC5" w:rsidTr="008A4EBD">
        <w:trPr>
          <w:trHeight w:val="1089"/>
        </w:trPr>
        <w:tc>
          <w:tcPr>
            <w:tcW w:w="1383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0" w:type="pct"/>
            <w:gridSpan w:val="6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7B99" w:rsidRPr="00ED3AC5" w:rsidTr="006E6B86">
        <w:trPr>
          <w:trHeight w:val="490"/>
        </w:trPr>
        <w:tc>
          <w:tcPr>
            <w:tcW w:w="1" w:type="pct"/>
            <w:gridSpan w:val="9"/>
          </w:tcPr>
          <w:p w:rsidR="00FF7B99" w:rsidRPr="00FF7B99" w:rsidRDefault="00FF7B99" w:rsidP="00FF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F7B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овых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 для субъектов предпринимательской или иной экономической деятельностью либо об 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существующих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  и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с ними дополнительны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расход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предусмотрено</w:t>
            </w:r>
          </w:p>
        </w:tc>
      </w:tr>
      <w:tr w:rsidR="008A4EBD" w:rsidRPr="00ED3AC5" w:rsidTr="00626633">
        <w:trPr>
          <w:trHeight w:val="68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данных, послужившие основанием для количественной оценки расходов субъектов: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0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41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8A4EBD" w:rsidRPr="00ED3AC5" w:rsidTr="00626633">
        <w:trPr>
          <w:trHeight w:val="2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39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8A4EBD" w:rsidRPr="00ED3AC5" w:rsidTr="00626633">
        <w:trPr>
          <w:trHeight w:val="568"/>
        </w:trPr>
        <w:tc>
          <w:tcPr>
            <w:tcW w:w="5000" w:type="pct"/>
            <w:gridSpan w:val="9"/>
          </w:tcPr>
          <w:p w:rsidR="008A4EBD" w:rsidRPr="00ED3AC5" w:rsidRDefault="00FF7B99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8A4EBD" w:rsidRPr="00ED3AC5" w:rsidTr="00626633">
        <w:trPr>
          <w:trHeight w:val="8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переходного  периода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8A4EBD" w:rsidRPr="00ED3AC5" w:rsidTr="00626633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rPr>
                <w:trHeight w:val="77"/>
              </w:trPr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8A4EBD" w:rsidRPr="00ED3AC5" w:rsidRDefault="00FF7B99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 2025</w:t>
            </w: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8A4EBD" w:rsidRPr="00ED3AC5" w:rsidTr="00626633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проведении публичного обсуждения проекта нормативного правового акта 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580226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F7B99"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8A4EBD" w:rsidRPr="00ED3AC5" w:rsidRDefault="008A4EBD" w:rsidP="008A4EBD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FF7B99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района;  Управление экономики, промышленности и инвестиционной деятельности; 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FF7B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_____;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____.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12.5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  <w:proofErr w:type="gramEnd"/>
          </w:p>
        </w:tc>
      </w:tr>
      <w:tr w:rsidR="008A4EBD" w:rsidRPr="00ED3AC5" w:rsidTr="00626633">
        <w:trPr>
          <w:trHeight w:val="299"/>
        </w:trPr>
        <w:tc>
          <w:tcPr>
            <w:tcW w:w="5000" w:type="pct"/>
            <w:gridSpan w:val="9"/>
          </w:tcPr>
          <w:p w:rsidR="008A4EBD" w:rsidRPr="00ED3AC5" w:rsidRDefault="00580226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F7B99"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8A4EBD" w:rsidRPr="00ED3AC5" w:rsidRDefault="008A4EBD" w:rsidP="008A4EBD">
      <w:pPr>
        <w:rPr>
          <w:rFonts w:ascii="Times New Roman" w:hAnsi="Times New Roman" w:cs="Times New Roman"/>
          <w:sz w:val="20"/>
          <w:szCs w:val="20"/>
        </w:rPr>
      </w:pPr>
    </w:p>
    <w:p w:rsidR="00FF7B99" w:rsidRDefault="00FF7B99" w:rsidP="00FF7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</w:p>
    <w:p w:rsidR="00FF7B99" w:rsidRDefault="00FF7B99" w:rsidP="00FF7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комитета по управлению муниципальным имуществом </w:t>
      </w:r>
    </w:p>
    <w:p w:rsidR="00FF7B99" w:rsidRDefault="00FF7B99" w:rsidP="00FF7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 природными ресурсами администрации Вольского </w:t>
      </w:r>
    </w:p>
    <w:p w:rsidR="00D83456" w:rsidRDefault="00FF7B99" w:rsidP="00FF7B99">
      <w:r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М.В. Подошвина</w:t>
      </w:r>
    </w:p>
    <w:sectPr w:rsidR="00D83456" w:rsidSect="00D8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4EBD"/>
    <w:rsid w:val="0031161B"/>
    <w:rsid w:val="00580226"/>
    <w:rsid w:val="008A4EBD"/>
    <w:rsid w:val="00D83456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A4E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A4EBD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8A4EBD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8A4EBD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8A4EBD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A4EB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3116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86;&#1083;&#1100;&#1089;&#1082;.&#1088;&#1092;/regulatory/otsenka/svodnye-otchy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bills/" TargetMode="External"/><Relationship Id="rId5" Type="http://schemas.openxmlformats.org/officeDocument/2006/relationships/hyperlink" Target="mailto:kymivolsk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2025-07-15T09:16:00Z</cp:lastPrinted>
  <dcterms:created xsi:type="dcterms:W3CDTF">2025-07-15T08:50:00Z</dcterms:created>
  <dcterms:modified xsi:type="dcterms:W3CDTF">2025-07-16T06:23:00Z</dcterms:modified>
</cp:coreProperties>
</file>