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B27685" w:rsidP="00D77A70">
      <w:pPr>
        <w:pStyle w:val="a3"/>
        <w:jc w:val="left"/>
        <w:rPr>
          <w:b/>
          <w:color w:val="000000"/>
          <w:szCs w:val="24"/>
        </w:rPr>
      </w:pPr>
      <w:r>
        <w:rPr>
          <w:b/>
          <w:color w:val="000000"/>
          <w:szCs w:val="24"/>
        </w:rPr>
        <w:t xml:space="preserve"> </w:t>
      </w: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r w:rsidR="00DB211C" w:rsidRPr="00F37628">
        <w:rPr>
          <w:b/>
          <w:color w:val="000000"/>
          <w:szCs w:val="24"/>
        </w:rPr>
        <w:t xml:space="preserve">, </w:t>
      </w:r>
      <w:r>
        <w:rPr>
          <w:b/>
          <w:color w:val="000000"/>
          <w:szCs w:val="24"/>
        </w:rPr>
        <w:t>образованных</w:t>
      </w:r>
      <w:r w:rsidR="00BD2036">
        <w:rPr>
          <w:b/>
          <w:color w:val="000000"/>
          <w:szCs w:val="24"/>
        </w:rPr>
        <w:t xml:space="preserve"> </w:t>
      </w:r>
      <w:r w:rsidR="00EE54FF" w:rsidRPr="00F37628">
        <w:rPr>
          <w:b/>
          <w:color w:val="000000"/>
          <w:szCs w:val="24"/>
        </w:rPr>
        <w:t>из земель</w:t>
      </w:r>
      <w:r w:rsidR="00DB211C" w:rsidRPr="00F37628">
        <w:rPr>
          <w:b/>
          <w:color w:val="000000"/>
          <w:szCs w:val="24"/>
        </w:rPr>
        <w:t xml:space="preserve"> государственн</w:t>
      </w:r>
      <w:r w:rsidR="00EE54FF" w:rsidRPr="00F37628">
        <w:rPr>
          <w:b/>
          <w:color w:val="000000"/>
          <w:szCs w:val="24"/>
        </w:rPr>
        <w:t>ая</w:t>
      </w:r>
      <w:r w:rsidR="00DB211C" w:rsidRPr="00F37628">
        <w:rPr>
          <w:b/>
          <w:color w:val="000000"/>
          <w:szCs w:val="24"/>
        </w:rPr>
        <w:t xml:space="preserve"> собственност</w:t>
      </w:r>
      <w:r w:rsidR="003151CE">
        <w:rPr>
          <w:b/>
          <w:color w:val="000000"/>
          <w:szCs w:val="24"/>
        </w:rPr>
        <w:t>ь на которы</w:t>
      </w:r>
      <w:r>
        <w:rPr>
          <w:b/>
          <w:color w:val="000000"/>
          <w:szCs w:val="24"/>
        </w:rPr>
        <w:t>е</w:t>
      </w:r>
      <w:r w:rsidR="00034C12">
        <w:rPr>
          <w:b/>
          <w:color w:val="000000"/>
          <w:szCs w:val="24"/>
        </w:rPr>
        <w:t xml:space="preserve"> </w:t>
      </w:r>
      <w:r w:rsidR="00EE54FF" w:rsidRPr="00F37628">
        <w:rPr>
          <w:b/>
          <w:color w:val="000000"/>
          <w:szCs w:val="24"/>
        </w:rPr>
        <w:t>не ра</w:t>
      </w:r>
      <w:r w:rsidR="00DB211C" w:rsidRPr="00F37628">
        <w:rPr>
          <w:b/>
          <w:color w:val="000000"/>
          <w:szCs w:val="24"/>
        </w:rPr>
        <w:t>зграниче</w:t>
      </w:r>
      <w:r w:rsidR="00EE54FF" w:rsidRPr="00F37628">
        <w:rPr>
          <w:b/>
          <w:color w:val="000000"/>
          <w:szCs w:val="24"/>
        </w:rPr>
        <w:t>на</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10515D">
        <w:t>»;</w:t>
      </w:r>
      <w:r w:rsidR="00730150" w:rsidRPr="0010515D">
        <w:t xml:space="preserve"> </w:t>
      </w:r>
      <w:r w:rsidR="00D33672" w:rsidRPr="0010515D">
        <w:t xml:space="preserve">  </w:t>
      </w:r>
      <w:r w:rsidR="0010515D" w:rsidRPr="0010515D">
        <w:rPr>
          <w:rFonts w:ascii="Montserrat" w:hAnsi="Montserrat"/>
        </w:rPr>
        <w:t>Правил землепользования и застройки Барановского муниципального образования Вольского муниципального района Саратовской области, утвержденные решением Совета Барановского муниципального образования </w:t>
      </w:r>
      <w:r w:rsidR="0010515D" w:rsidRPr="0010515D">
        <w:rPr>
          <w:szCs w:val="24"/>
        </w:rPr>
        <w:t>№ 3/21-78 от 29.12.2012г. (с изм. и доп.)</w:t>
      </w:r>
      <w:r w:rsidR="00812201" w:rsidRPr="0010515D">
        <w:rPr>
          <w:szCs w:val="24"/>
        </w:rPr>
        <w:t>,</w:t>
      </w:r>
      <w:r w:rsidR="0010515D">
        <w:t xml:space="preserve"> </w:t>
      </w:r>
      <w:r w:rsidR="003E19B1" w:rsidRPr="00812201">
        <w:t>на основании ст. 29</w:t>
      </w:r>
      <w:r w:rsidR="002C06EB" w:rsidRPr="00812201">
        <w:t xml:space="preserve"> Устава Вольского муниципального района</w:t>
      </w:r>
      <w:r w:rsidR="00725596" w:rsidRPr="00812201">
        <w:t>,</w:t>
      </w:r>
      <w:r w:rsidR="00BD2036" w:rsidRPr="00812201">
        <w:t xml:space="preserve"> </w:t>
      </w:r>
      <w:r w:rsidR="0080124C" w:rsidRPr="00812201">
        <w:t xml:space="preserve">на основании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DB1695">
        <w:t>01</w:t>
      </w:r>
      <w:r w:rsidR="00D33672" w:rsidRPr="004C1D55">
        <w:t>.</w:t>
      </w:r>
      <w:r w:rsidR="00DB1695">
        <w:t xml:space="preserve">04.2025 </w:t>
      </w:r>
      <w:r w:rsidR="001C6916" w:rsidRPr="004C1D55">
        <w:t>г. №</w:t>
      </w:r>
      <w:r w:rsidR="00DB1695">
        <w:t>804</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F57DBD">
        <w:rPr>
          <w:szCs w:val="24"/>
        </w:rPr>
        <w:t>от</w:t>
      </w:r>
      <w:r w:rsidR="00293F1A" w:rsidRPr="00F57DBD">
        <w:rPr>
          <w:szCs w:val="24"/>
        </w:rPr>
        <w:t xml:space="preserve"> </w:t>
      </w:r>
      <w:r w:rsidR="004836C5">
        <w:rPr>
          <w:szCs w:val="24"/>
        </w:rPr>
        <w:t>20.05</w:t>
      </w:r>
      <w:r w:rsidR="00FD135A" w:rsidRPr="00F57DBD">
        <w:rPr>
          <w:szCs w:val="24"/>
        </w:rPr>
        <w:t>.</w:t>
      </w:r>
      <w:r w:rsidR="00F57DBD" w:rsidRPr="00F57DBD">
        <w:rPr>
          <w:szCs w:val="24"/>
        </w:rPr>
        <w:t>2025</w:t>
      </w:r>
      <w:r w:rsidR="0031221A" w:rsidRPr="00F57DBD">
        <w:rPr>
          <w:szCs w:val="24"/>
        </w:rPr>
        <w:t xml:space="preserve"> </w:t>
      </w:r>
      <w:r w:rsidR="003742C8" w:rsidRPr="00F57DBD">
        <w:rPr>
          <w:szCs w:val="24"/>
        </w:rPr>
        <w:t>г.</w:t>
      </w:r>
      <w:r w:rsidR="00E36599" w:rsidRPr="00F57DBD">
        <w:rPr>
          <w:szCs w:val="24"/>
        </w:rPr>
        <w:t xml:space="preserve"> №</w:t>
      </w:r>
      <w:r w:rsidR="004836C5">
        <w:rPr>
          <w:szCs w:val="24"/>
        </w:rPr>
        <w:t>79</w:t>
      </w:r>
      <w:r w:rsidR="00D33672" w:rsidRPr="00F57DBD">
        <w:rPr>
          <w:szCs w:val="24"/>
        </w:rPr>
        <w:t xml:space="preserve"> </w:t>
      </w:r>
      <w:r w:rsidR="002375C1" w:rsidRPr="00F57DBD">
        <w:rPr>
          <w:szCs w:val="24"/>
        </w:rPr>
        <w:t>«</w:t>
      </w:r>
      <w:r w:rsidR="00296798" w:rsidRPr="00F57DBD">
        <w:rPr>
          <w:szCs w:val="24"/>
        </w:rPr>
        <w:t>О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DB1695">
        <w:rPr>
          <w:szCs w:val="24"/>
        </w:rPr>
        <w:t>земельных участков</w:t>
      </w:r>
      <w:r w:rsidR="00F57DBD" w:rsidRPr="00F57DBD">
        <w:rPr>
          <w:szCs w:val="24"/>
        </w:rPr>
        <w:t>»</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4836C5">
        <w:rPr>
          <w:szCs w:val="24"/>
          <w:u w:val="single"/>
        </w:rPr>
        <w:t>20.06</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№1: </w:t>
            </w:r>
            <w:r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556036">
            <w:pPr>
              <w:pStyle w:val="a7"/>
              <w:spacing w:after="0"/>
              <w:ind w:right="45"/>
              <w:contextualSpacing/>
              <w:jc w:val="center"/>
              <w:rPr>
                <w:b/>
                <w:sz w:val="24"/>
                <w:szCs w:val="24"/>
              </w:rPr>
            </w:pPr>
            <w:r>
              <w:rPr>
                <w:b/>
                <w:sz w:val="24"/>
                <w:szCs w:val="24"/>
              </w:rPr>
              <w:t>304 000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EE5F03">
            <w:pPr>
              <w:pStyle w:val="a7"/>
              <w:spacing w:after="0"/>
              <w:ind w:right="45"/>
              <w:contextualSpacing/>
              <w:rPr>
                <w:b/>
                <w:sz w:val="24"/>
                <w:szCs w:val="24"/>
              </w:rPr>
            </w:pPr>
            <w:r>
              <w:rPr>
                <w:b/>
                <w:sz w:val="24"/>
                <w:szCs w:val="24"/>
              </w:rPr>
              <w:t xml:space="preserve">       60 800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356D5C">
            <w:pPr>
              <w:pStyle w:val="a7"/>
              <w:spacing w:after="0"/>
              <w:ind w:right="45"/>
              <w:contextualSpacing/>
              <w:rPr>
                <w:b/>
                <w:sz w:val="24"/>
                <w:szCs w:val="24"/>
              </w:rPr>
            </w:pPr>
            <w:r>
              <w:rPr>
                <w:b/>
                <w:sz w:val="24"/>
                <w:szCs w:val="24"/>
              </w:rPr>
              <w:t xml:space="preserve">                    9 120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№2: </w:t>
            </w:r>
            <w:r w:rsidRPr="000A443E">
              <w:rPr>
                <w:color w:val="000000"/>
                <w:sz w:val="24"/>
                <w:szCs w:val="24"/>
              </w:rPr>
              <w:t xml:space="preserve">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w:t>
            </w:r>
            <w:r w:rsidRPr="000A443E">
              <w:rPr>
                <w:color w:val="000000"/>
                <w:sz w:val="24"/>
                <w:szCs w:val="24"/>
              </w:rPr>
              <w:lastRenderedPageBreak/>
              <w:t>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lastRenderedPageBreak/>
              <w:t xml:space="preserve">                  378 000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75 600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11 340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lastRenderedPageBreak/>
              <w:t xml:space="preserve">Лот №3: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t xml:space="preserve">                268 000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53 600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8 040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p>
    <w:p w:rsidR="00533611" w:rsidRPr="002A7728" w:rsidRDefault="00023C35" w:rsidP="002A7728">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686061" w:rsidRDefault="00686061" w:rsidP="0031221A">
      <w:pPr>
        <w:rPr>
          <w:b/>
          <w:bCs/>
          <w:color w:val="000000"/>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556036" w:rsidRPr="000A443E" w:rsidRDefault="00730150" w:rsidP="00556036">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56036"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556036" w:rsidRDefault="00556036" w:rsidP="00556036">
      <w:pPr>
        <w:jc w:val="both"/>
        <w:rPr>
          <w:bCs/>
          <w:color w:val="000000"/>
          <w:sz w:val="26"/>
          <w:szCs w:val="26"/>
        </w:rPr>
      </w:pPr>
      <w:r w:rsidRPr="0018351E">
        <w:rPr>
          <w:bCs/>
          <w:color w:val="000000"/>
          <w:sz w:val="26"/>
          <w:szCs w:val="26"/>
        </w:rPr>
        <w:t>Ограничения (обременения) прав:</w:t>
      </w:r>
    </w:p>
    <w:p w:rsidR="00556036" w:rsidRDefault="00556036" w:rsidP="00556036">
      <w:pPr>
        <w:jc w:val="both"/>
        <w:rPr>
          <w:sz w:val="24"/>
          <w:szCs w:val="24"/>
        </w:rPr>
      </w:pPr>
      <w:r>
        <w:rPr>
          <w:bCs/>
          <w:color w:val="000000"/>
          <w:sz w:val="26"/>
          <w:szCs w:val="26"/>
        </w:rPr>
        <w:t xml:space="preserve">а) </w:t>
      </w:r>
      <w:r w:rsidRPr="00DC0D36">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07.12.2023;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56036" w:rsidRPr="00945EB1" w:rsidRDefault="00556036" w:rsidP="00556036">
      <w:pPr>
        <w:jc w:val="both"/>
        <w:rPr>
          <w:bCs/>
          <w:color w:val="000000"/>
          <w:sz w:val="24"/>
          <w:szCs w:val="24"/>
        </w:rPr>
      </w:pPr>
      <w:r w:rsidRPr="00945EB1">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w:t>
      </w:r>
      <w:r w:rsidRPr="00945EB1">
        <w:rPr>
          <w:sz w:val="24"/>
          <w:szCs w:val="24"/>
        </w:rPr>
        <w:lastRenderedPageBreak/>
        <w:t>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r>
        <w:rPr>
          <w:sz w:val="24"/>
          <w:szCs w:val="24"/>
        </w:rPr>
        <w:t>.</w:t>
      </w:r>
    </w:p>
    <w:p w:rsidR="00556036" w:rsidRPr="00DC0D36" w:rsidRDefault="00556036" w:rsidP="00556036">
      <w:pPr>
        <w:ind w:right="-96"/>
        <w:jc w:val="both"/>
        <w:rPr>
          <w:bCs/>
          <w:color w:val="000000"/>
          <w:sz w:val="24"/>
          <w:szCs w:val="24"/>
        </w:rPr>
      </w:pPr>
      <w:r>
        <w:rPr>
          <w:bCs/>
          <w:color w:val="000000"/>
          <w:sz w:val="24"/>
          <w:szCs w:val="24"/>
        </w:rPr>
        <w:t>б</w:t>
      </w:r>
      <w:r w:rsidRPr="00DC0D36">
        <w:rPr>
          <w:bCs/>
          <w:color w:val="000000"/>
          <w:sz w:val="24"/>
          <w:szCs w:val="24"/>
        </w:rPr>
        <w:t xml:space="preserve">) Земельный участок не занят строениями.     </w:t>
      </w:r>
    </w:p>
    <w:p w:rsidR="00556036" w:rsidRPr="0018351E" w:rsidRDefault="00556036" w:rsidP="00556036">
      <w:pPr>
        <w:ind w:right="-96"/>
        <w:jc w:val="both"/>
        <w:rPr>
          <w:bCs/>
          <w:color w:val="000000"/>
          <w:sz w:val="26"/>
          <w:szCs w:val="26"/>
        </w:rPr>
      </w:pPr>
      <w:r>
        <w:rPr>
          <w:bCs/>
          <w:color w:val="000000"/>
          <w:sz w:val="24"/>
          <w:szCs w:val="24"/>
        </w:rPr>
        <w:t>в</w:t>
      </w:r>
      <w:r w:rsidRPr="00DC0D36">
        <w:rPr>
          <w:bCs/>
          <w:color w:val="000000"/>
          <w:sz w:val="24"/>
          <w:szCs w:val="24"/>
        </w:rPr>
        <w:t>)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BD2036" w:rsidRPr="005E4F36" w:rsidRDefault="00B767DF" w:rsidP="00556036">
      <w:pPr>
        <w:pStyle w:val="af5"/>
        <w:tabs>
          <w:tab w:val="left" w:pos="5100"/>
        </w:tabs>
        <w:jc w:val="both"/>
        <w:rPr>
          <w:rFonts w:ascii="Times New Roman" w:hAnsi="Times New Roman"/>
          <w:sz w:val="24"/>
          <w:szCs w:val="24"/>
        </w:rPr>
      </w:pPr>
      <w:r w:rsidRPr="005E4F36">
        <w:rPr>
          <w:rFonts w:ascii="Times New Roman" w:hAnsi="Times New Roman"/>
          <w:sz w:val="24"/>
          <w:szCs w:val="24"/>
        </w:rPr>
        <w:t xml:space="preserve">Аукционные торги </w:t>
      </w:r>
      <w:r w:rsidR="0076797D" w:rsidRPr="005E4F36">
        <w:rPr>
          <w:rFonts w:ascii="Times New Roman" w:hAnsi="Times New Roman"/>
          <w:sz w:val="24"/>
          <w:szCs w:val="24"/>
        </w:rPr>
        <w:t>в</w:t>
      </w:r>
      <w:r w:rsidR="004836C5">
        <w:rPr>
          <w:rFonts w:ascii="Times New Roman" w:hAnsi="Times New Roman"/>
          <w:sz w:val="24"/>
          <w:szCs w:val="24"/>
        </w:rPr>
        <w:t xml:space="preserve"> отношении лота №1, назначенные на 16.05.2025 г. признаны несостоявшимися.</w:t>
      </w:r>
    </w:p>
    <w:p w:rsidR="005E4F36" w:rsidRPr="00192E60" w:rsidRDefault="005E4F36" w:rsidP="005E4F36">
      <w:pPr>
        <w:pStyle w:val="af5"/>
        <w:ind w:firstLine="710"/>
        <w:jc w:val="both"/>
        <w:rPr>
          <w:rFonts w:ascii="Times New Roman" w:hAnsi="Times New Roman"/>
          <w:sz w:val="24"/>
          <w:szCs w:val="24"/>
        </w:rPr>
      </w:pPr>
      <w:bookmarkStart w:id="0" w:name="_Toc144381549"/>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4B710E" w:rsidRPr="004E176D" w:rsidRDefault="004B710E" w:rsidP="004B710E">
      <w:pPr>
        <w:suppressAutoHyphens/>
        <w:ind w:firstLine="709"/>
        <w:outlineLvl w:val="2"/>
        <w:rPr>
          <w:b/>
          <w:bCs/>
          <w:spacing w:val="-10"/>
          <w:sz w:val="24"/>
          <w:szCs w:val="24"/>
        </w:rPr>
      </w:pPr>
      <w:r w:rsidRPr="004E176D">
        <w:rPr>
          <w:b/>
          <w:bCs/>
          <w:spacing w:val="-10"/>
          <w:sz w:val="24"/>
          <w:szCs w:val="24"/>
        </w:rPr>
        <w:t>Жилые зоны (Ж)</w:t>
      </w:r>
      <w:bookmarkEnd w:id="0"/>
    </w:p>
    <w:p w:rsidR="005E4F36" w:rsidRPr="005D4980" w:rsidRDefault="005E4F36" w:rsidP="005E4F36">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5E4F36"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5E4F36" w:rsidRPr="005D4980" w:rsidRDefault="005E4F36"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5E4F36" w:rsidRPr="005D4980" w:rsidRDefault="005E4F36"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5E4F36" w:rsidRPr="005D4980" w:rsidRDefault="005E4F36"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lastRenderedPageBreak/>
              <w:t>Предпринимательство (4.0)</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Спорт (5.1)</w:t>
            </w:r>
          </w:p>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5E4F36" w:rsidRPr="005D4980" w:rsidTr="00AD4793">
        <w:trPr>
          <w:trHeight w:val="20"/>
        </w:trPr>
        <w:tc>
          <w:tcPr>
            <w:tcW w:w="445"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5E4F36" w:rsidRPr="005D4980" w:rsidRDefault="005E4F36"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5E4F36" w:rsidRPr="005D4980" w:rsidRDefault="005E4F36" w:rsidP="00AD4793">
            <w:pPr>
              <w:tabs>
                <w:tab w:val="left" w:pos="211"/>
                <w:tab w:val="left" w:pos="301"/>
              </w:tabs>
              <w:suppressAutoHyphens/>
              <w:jc w:val="both"/>
              <w:rPr>
                <w:sz w:val="24"/>
                <w:szCs w:val="24"/>
              </w:rPr>
            </w:pPr>
            <w:r w:rsidRPr="005D4980">
              <w:rPr>
                <w:sz w:val="24"/>
                <w:szCs w:val="24"/>
              </w:rPr>
              <w:t>Гостиничное обслуживание (4.7)</w:t>
            </w:r>
          </w:p>
          <w:p w:rsidR="005E4F36" w:rsidRDefault="005E4F36" w:rsidP="00AD4793">
            <w:pPr>
              <w:tabs>
                <w:tab w:val="left" w:pos="211"/>
                <w:tab w:val="left" w:pos="301"/>
              </w:tabs>
              <w:suppressAutoHyphens/>
              <w:jc w:val="both"/>
              <w:rPr>
                <w:sz w:val="24"/>
                <w:szCs w:val="24"/>
              </w:rPr>
            </w:pPr>
            <w:r w:rsidRPr="005D4980">
              <w:rPr>
                <w:sz w:val="24"/>
                <w:szCs w:val="24"/>
              </w:rPr>
              <w:t>Отдых (рекреация) (5.0)</w:t>
            </w:r>
          </w:p>
          <w:p w:rsidR="005E4F36" w:rsidRPr="00980E77" w:rsidRDefault="005E4F36" w:rsidP="00AD4793">
            <w:pPr>
              <w:tabs>
                <w:tab w:val="left" w:pos="211"/>
                <w:tab w:val="left" w:pos="301"/>
              </w:tabs>
              <w:suppressAutoHyphens/>
              <w:jc w:val="both"/>
              <w:rPr>
                <w:sz w:val="24"/>
                <w:szCs w:val="24"/>
              </w:rPr>
            </w:pPr>
            <w:r w:rsidRPr="00980E77">
              <w:rPr>
                <w:sz w:val="24"/>
                <w:szCs w:val="24"/>
              </w:rPr>
              <w:t>Виноградарство (1.5.1)</w:t>
            </w:r>
          </w:p>
        </w:tc>
      </w:tr>
      <w:tr w:rsidR="005E4F36"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w:t>
            </w:r>
            <w:r w:rsidRPr="005D4980">
              <w:rPr>
                <w:sz w:val="24"/>
                <w:szCs w:val="24"/>
              </w:rPr>
              <w:lastRenderedPageBreak/>
              <w:t>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E4F36" w:rsidRPr="005D4980" w:rsidRDefault="005E4F36"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5E4F36" w:rsidRPr="005D4980" w:rsidRDefault="005E4F36"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5E4F36" w:rsidRPr="005D4980" w:rsidRDefault="005E4F36" w:rsidP="00AD4793">
            <w:pPr>
              <w:ind w:left="317" w:hanging="284"/>
              <w:jc w:val="both"/>
              <w:rPr>
                <w:sz w:val="24"/>
                <w:szCs w:val="24"/>
              </w:rPr>
            </w:pPr>
            <w:r w:rsidRPr="005D4980">
              <w:rPr>
                <w:sz w:val="24"/>
                <w:szCs w:val="24"/>
              </w:rPr>
              <w:t xml:space="preserve">- от красной линии проездов – 3 м; </w:t>
            </w:r>
          </w:p>
          <w:p w:rsidR="005E4F36" w:rsidRPr="005D4980" w:rsidRDefault="005E4F36"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Максимальная высота здания: 14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w:t>
            </w:r>
            <w:r w:rsidRPr="005D4980">
              <w:rPr>
                <w:sz w:val="24"/>
                <w:szCs w:val="24"/>
              </w:rPr>
              <w:lastRenderedPageBreak/>
              <w:t>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w:t>
            </w:r>
            <w:r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5E4F36" w:rsidRDefault="005E4F36"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5E4F36" w:rsidRDefault="005E4F36" w:rsidP="001E25FB">
      <w:pPr>
        <w:pStyle w:val="a5"/>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5E4F36" w:rsidRDefault="005E4F36" w:rsidP="00AD4793">
            <w:pPr>
              <w:jc w:val="center"/>
              <w:rPr>
                <w:sz w:val="24"/>
                <w:szCs w:val="24"/>
              </w:rPr>
            </w:pPr>
            <w:r>
              <w:rPr>
                <w:sz w:val="24"/>
                <w:szCs w:val="24"/>
              </w:rPr>
              <w:t>Т</w:t>
            </w:r>
            <w:r w:rsidR="00AD4793">
              <w:rPr>
                <w:sz w:val="24"/>
                <w:szCs w:val="24"/>
              </w:rPr>
              <w:t>е</w:t>
            </w:r>
            <w:r>
              <w:rPr>
                <w:sz w:val="24"/>
                <w:szCs w:val="24"/>
              </w:rPr>
              <w:t xml:space="preserve">хнические условия (технологического присоединения) на </w:t>
            </w:r>
            <w:r w:rsidR="00AD4793">
              <w:rPr>
                <w:sz w:val="24"/>
                <w:szCs w:val="24"/>
              </w:rPr>
              <w:t>данный земельный участок  будут выданы после предоставления в адрес филиала  письменного согласования на подключение от собственников линии по ул. Овражная.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AD4793">
            <w:pPr>
              <w:ind w:left="43"/>
              <w:jc w:val="center"/>
              <w:rPr>
                <w:rFonts w:eastAsia="Calibri"/>
                <w:sz w:val="24"/>
                <w:szCs w:val="24"/>
                <w:lang w:eastAsia="en-US"/>
              </w:rPr>
            </w:pPr>
            <w:r w:rsidRPr="007D3F2D">
              <w:rPr>
                <w:sz w:val="24"/>
                <w:szCs w:val="24"/>
                <w:lang w:eastAsia="en-US"/>
              </w:rPr>
              <w:t>№</w:t>
            </w:r>
            <w:r w:rsidR="005E4F36">
              <w:rPr>
                <w:sz w:val="24"/>
                <w:szCs w:val="24"/>
                <w:lang w:eastAsia="en-US"/>
              </w:rPr>
              <w:t xml:space="preserve">1173 </w:t>
            </w:r>
            <w:r w:rsidR="00366FAD" w:rsidRPr="007D3F2D">
              <w:rPr>
                <w:sz w:val="24"/>
                <w:szCs w:val="24"/>
                <w:lang w:eastAsia="en-US"/>
              </w:rPr>
              <w:t xml:space="preserve">от </w:t>
            </w:r>
            <w:r w:rsidR="005E4F36">
              <w:rPr>
                <w:sz w:val="24"/>
                <w:szCs w:val="24"/>
                <w:lang w:eastAsia="en-US"/>
              </w:rPr>
              <w:t>09.04</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8770FC">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AD4793">
              <w:rPr>
                <w:sz w:val="24"/>
                <w:szCs w:val="24"/>
                <w:lang w:eastAsia="en-US"/>
              </w:rPr>
              <w:t>514</w:t>
            </w:r>
            <w:r w:rsidR="00AE100A">
              <w:rPr>
                <w:sz w:val="24"/>
                <w:szCs w:val="24"/>
                <w:lang w:eastAsia="en-US"/>
              </w:rPr>
              <w:t xml:space="preserve"> </w:t>
            </w:r>
            <w:r w:rsidRPr="00B27D8C">
              <w:rPr>
                <w:sz w:val="24"/>
                <w:szCs w:val="24"/>
                <w:lang w:eastAsia="en-US"/>
              </w:rPr>
              <w:t xml:space="preserve">от </w:t>
            </w:r>
            <w:r w:rsidR="00AD4793">
              <w:rPr>
                <w:sz w:val="24"/>
                <w:szCs w:val="24"/>
                <w:lang w:eastAsia="en-US"/>
              </w:rPr>
              <w:t>11</w:t>
            </w:r>
            <w:r w:rsidRPr="00B27D8C">
              <w:rPr>
                <w:sz w:val="24"/>
                <w:szCs w:val="24"/>
                <w:lang w:eastAsia="en-US"/>
              </w:rPr>
              <w:t>.</w:t>
            </w:r>
            <w:r w:rsidR="00AD4793">
              <w:rPr>
                <w:sz w:val="24"/>
                <w:szCs w:val="24"/>
                <w:lang w:eastAsia="en-US"/>
              </w:rPr>
              <w:t>04</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Pr="00B27D8C"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2 Вольск.</w:t>
            </w:r>
          </w:p>
          <w:p w:rsidR="001E25FB" w:rsidRPr="00B27D8C" w:rsidRDefault="001E25FB" w:rsidP="00AD4793">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AD4793">
              <w:rPr>
                <w:sz w:val="24"/>
                <w:szCs w:val="24"/>
                <w:lang w:eastAsia="en-US"/>
              </w:rPr>
              <w:t xml:space="preserve"> №162</w:t>
            </w:r>
            <w:r w:rsidRPr="00B27D8C">
              <w:rPr>
                <w:sz w:val="24"/>
                <w:szCs w:val="24"/>
                <w:lang w:eastAsia="en-US"/>
              </w:rPr>
              <w:t xml:space="preserve"> от </w:t>
            </w:r>
            <w:r w:rsidR="00AD4793">
              <w:rPr>
                <w:sz w:val="24"/>
                <w:szCs w:val="24"/>
                <w:lang w:eastAsia="en-US"/>
              </w:rPr>
              <w:t>07.04</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3151CE" w:rsidRDefault="003151CE" w:rsidP="00C14466">
      <w:pPr>
        <w:ind w:firstLine="710"/>
        <w:jc w:val="both"/>
        <w:rPr>
          <w:b/>
          <w:color w:val="000000"/>
          <w:sz w:val="24"/>
          <w:szCs w:val="24"/>
        </w:rPr>
      </w:pPr>
    </w:p>
    <w:p w:rsidR="00AD4793" w:rsidRDefault="00AD4793" w:rsidP="00C14466">
      <w:pPr>
        <w:ind w:firstLine="710"/>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AD4793" w:rsidRPr="00DE0455" w:rsidRDefault="00AD4793" w:rsidP="00AD4793">
      <w:pPr>
        <w:jc w:val="both"/>
        <w:rPr>
          <w:bCs/>
          <w:color w:val="000000"/>
          <w:sz w:val="24"/>
          <w:szCs w:val="24"/>
        </w:rPr>
      </w:pPr>
      <w:r w:rsidRPr="00DE0455">
        <w:rPr>
          <w:bCs/>
          <w:color w:val="000000"/>
          <w:sz w:val="24"/>
          <w:szCs w:val="24"/>
        </w:rPr>
        <w:t>Ограничения (обременения) прав отсутствуют.</w:t>
      </w:r>
    </w:p>
    <w:p w:rsidR="00AD4793" w:rsidRPr="00DE0455" w:rsidRDefault="00AD4793" w:rsidP="00AD4793">
      <w:pPr>
        <w:ind w:right="-96"/>
        <w:jc w:val="both"/>
        <w:rPr>
          <w:bCs/>
          <w:color w:val="000000"/>
          <w:sz w:val="24"/>
          <w:szCs w:val="24"/>
        </w:rPr>
      </w:pPr>
      <w:r w:rsidRPr="00DE0455">
        <w:rPr>
          <w:bCs/>
          <w:color w:val="000000"/>
          <w:sz w:val="24"/>
          <w:szCs w:val="24"/>
        </w:rPr>
        <w:t xml:space="preserve">а) Земельный участок не занят строениями.     </w:t>
      </w:r>
    </w:p>
    <w:p w:rsidR="00AD4793" w:rsidRPr="00DE0455" w:rsidRDefault="00AD4793" w:rsidP="00AD4793">
      <w:pPr>
        <w:ind w:right="-96"/>
        <w:jc w:val="both"/>
        <w:rPr>
          <w:bCs/>
          <w:color w:val="000000"/>
          <w:sz w:val="24"/>
          <w:szCs w:val="24"/>
        </w:rPr>
      </w:pPr>
      <w:r w:rsidRPr="00DE0455">
        <w:rPr>
          <w:bCs/>
          <w:color w:val="000000"/>
          <w:sz w:val="24"/>
          <w:szCs w:val="24"/>
        </w:rPr>
        <w:lastRenderedPageBreak/>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4836C5" w:rsidRPr="005E4F36" w:rsidRDefault="004836C5" w:rsidP="004836C5">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№2, назначенные на 16.05.2025 г. признаны несостоявшимися.</w:t>
      </w:r>
    </w:p>
    <w:p w:rsidR="00AD4793" w:rsidRPr="0021685C" w:rsidRDefault="00AD4793" w:rsidP="00AD4793">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p>
    <w:p w:rsidR="00AD4793" w:rsidRPr="0021685C" w:rsidRDefault="00AD4793" w:rsidP="00AD4793">
      <w:pPr>
        <w:tabs>
          <w:tab w:val="left" w:pos="1134"/>
          <w:tab w:val="left" w:pos="3828"/>
        </w:tabs>
        <w:ind w:firstLine="709"/>
        <w:jc w:val="both"/>
        <w:outlineLvl w:val="2"/>
        <w:rPr>
          <w:b/>
          <w:spacing w:val="-10"/>
          <w:sz w:val="24"/>
          <w:szCs w:val="24"/>
          <w:lang w:eastAsia="ar-SA"/>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tbl>
      <w:tblPr>
        <w:tblW w:w="9923" w:type="dxa"/>
        <w:tblInd w:w="108" w:type="dxa"/>
        <w:tblLook w:val="00A0"/>
      </w:tblPr>
      <w:tblGrid>
        <w:gridCol w:w="445"/>
        <w:gridCol w:w="2249"/>
        <w:gridCol w:w="7229"/>
      </w:tblGrid>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AD4793"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AD4793" w:rsidRPr="005D4980" w:rsidRDefault="00AD4793"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AD4793" w:rsidRPr="005D4980" w:rsidRDefault="00AD4793"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AD4793" w:rsidRPr="005D4980" w:rsidRDefault="00AD4793"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Спорт (5.1)</w:t>
            </w:r>
          </w:p>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AD4793" w:rsidRPr="005D4980" w:rsidTr="00AD4793">
        <w:trPr>
          <w:trHeight w:val="20"/>
        </w:trPr>
        <w:tc>
          <w:tcPr>
            <w:tcW w:w="445"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AD4793" w:rsidRPr="005D4980" w:rsidRDefault="00AD4793"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AD4793" w:rsidRPr="005D4980" w:rsidRDefault="00AD4793" w:rsidP="00AD4793">
            <w:pPr>
              <w:tabs>
                <w:tab w:val="left" w:pos="211"/>
                <w:tab w:val="left" w:pos="301"/>
              </w:tabs>
              <w:suppressAutoHyphens/>
              <w:jc w:val="both"/>
              <w:rPr>
                <w:sz w:val="24"/>
                <w:szCs w:val="24"/>
              </w:rPr>
            </w:pPr>
            <w:r w:rsidRPr="005D4980">
              <w:rPr>
                <w:sz w:val="24"/>
                <w:szCs w:val="24"/>
              </w:rPr>
              <w:t>Гостиничное обслуживание (4.7)</w:t>
            </w:r>
          </w:p>
          <w:p w:rsidR="00AD4793" w:rsidRDefault="00AD4793" w:rsidP="00AD4793">
            <w:pPr>
              <w:tabs>
                <w:tab w:val="left" w:pos="211"/>
                <w:tab w:val="left" w:pos="301"/>
              </w:tabs>
              <w:suppressAutoHyphens/>
              <w:jc w:val="both"/>
              <w:rPr>
                <w:sz w:val="24"/>
                <w:szCs w:val="24"/>
              </w:rPr>
            </w:pPr>
            <w:r w:rsidRPr="005D4980">
              <w:rPr>
                <w:sz w:val="24"/>
                <w:szCs w:val="24"/>
              </w:rPr>
              <w:lastRenderedPageBreak/>
              <w:t>Отдых (рекреация) (5.0)</w:t>
            </w:r>
          </w:p>
          <w:p w:rsidR="00AD4793" w:rsidRPr="00980E77" w:rsidRDefault="00AD4793" w:rsidP="00AD4793">
            <w:pPr>
              <w:tabs>
                <w:tab w:val="left" w:pos="211"/>
                <w:tab w:val="left" w:pos="301"/>
              </w:tabs>
              <w:suppressAutoHyphens/>
              <w:jc w:val="both"/>
              <w:rPr>
                <w:sz w:val="24"/>
                <w:szCs w:val="24"/>
              </w:rPr>
            </w:pPr>
            <w:r w:rsidRPr="00980E77">
              <w:rPr>
                <w:sz w:val="24"/>
                <w:szCs w:val="24"/>
              </w:rPr>
              <w:t>Виноградарство (1.5.1)</w:t>
            </w:r>
          </w:p>
        </w:tc>
      </w:tr>
      <w:tr w:rsidR="00AD4793"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lastRenderedPageBreak/>
              <w:t>Предельные параметры разрешенного строительства, реконструкции объектов капитального строительства: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D4980">
              <w:rPr>
                <w:sz w:val="24"/>
                <w:szCs w:val="24"/>
              </w:rPr>
              <w:lastRenderedPageBreak/>
              <w:t xml:space="preserve">сооружений,  за  пределами  которых  запрещено строительство зданий, строений, сооружений:   </w:t>
            </w:r>
          </w:p>
          <w:p w:rsidR="00AD4793" w:rsidRPr="005D4980" w:rsidRDefault="00AD4793"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AD4793" w:rsidRPr="005D4980" w:rsidRDefault="00AD4793"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AD4793" w:rsidRPr="005D4980" w:rsidRDefault="00AD4793" w:rsidP="00AD4793">
            <w:pPr>
              <w:ind w:left="317" w:hanging="284"/>
              <w:jc w:val="both"/>
              <w:rPr>
                <w:sz w:val="24"/>
                <w:szCs w:val="24"/>
              </w:rPr>
            </w:pPr>
            <w:r w:rsidRPr="005D4980">
              <w:rPr>
                <w:sz w:val="24"/>
                <w:szCs w:val="24"/>
              </w:rPr>
              <w:t xml:space="preserve">- от красной линии проездов – 3 м; </w:t>
            </w:r>
          </w:p>
          <w:p w:rsidR="00AD4793" w:rsidRPr="005D4980" w:rsidRDefault="00AD4793"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Прочие параметры разрешённого строительства и реконструкции объектов капитального строительства </w:t>
            </w:r>
            <w:r w:rsidRPr="005D4980">
              <w:rPr>
                <w:sz w:val="24"/>
                <w:szCs w:val="24"/>
                <w:lang w:eastAsia="ar-SA" w:bidi="en-US"/>
              </w:rPr>
              <w:lastRenderedPageBreak/>
              <w:t>определяются на основе требований технических регламентов, региональных и местных нормативов градостроительного проектирования.</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w:t>
            </w:r>
            <w:r w:rsidRPr="005D4980">
              <w:rPr>
                <w:sz w:val="24"/>
                <w:szCs w:val="24"/>
              </w:rPr>
              <w:lastRenderedPageBreak/>
              <w:t>элементов ансамбля, включая парковую территорию;</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w:t>
            </w:r>
            <w:r w:rsidRPr="005D4980">
              <w:rPr>
                <w:sz w:val="24"/>
                <w:szCs w:val="24"/>
              </w:rPr>
              <w:lastRenderedPageBreak/>
              <w:t>«Коммунар»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Default="00AD4793" w:rsidP="00DE0455">
      <w:pPr>
        <w:pStyle w:val="a5"/>
        <w:ind w:firstLine="0"/>
        <w:jc w:val="both"/>
        <w:rPr>
          <w:b/>
          <w:color w:val="000000"/>
          <w:spacing w:val="1"/>
          <w:szCs w:val="24"/>
        </w:rPr>
      </w:pPr>
    </w:p>
    <w:p w:rsidR="00AD4793" w:rsidRDefault="00AD4793" w:rsidP="00AD4793">
      <w:pPr>
        <w:pStyle w:val="a5"/>
        <w:jc w:val="both"/>
        <w:rPr>
          <w:b/>
          <w:color w:val="000000"/>
          <w:spacing w:val="1"/>
          <w:szCs w:val="24"/>
        </w:rPr>
      </w:pPr>
    </w:p>
    <w:p w:rsidR="00AD4793" w:rsidRPr="000F2286" w:rsidRDefault="00AD4793" w:rsidP="00AD4793">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E9245C" w:rsidRDefault="00E9245C" w:rsidP="00AD4793">
            <w:pPr>
              <w:ind w:left="43"/>
              <w:jc w:val="center"/>
              <w:rPr>
                <w:sz w:val="24"/>
                <w:szCs w:val="24"/>
              </w:rPr>
            </w:pPr>
            <w:r>
              <w:rPr>
                <w:sz w:val="24"/>
                <w:szCs w:val="24"/>
              </w:rPr>
              <w:t>- Водоснабжение  объекта предусмотреть от водопроводной линии по ул. Глинная.</w:t>
            </w:r>
          </w:p>
          <w:p w:rsidR="00E9245C" w:rsidRDefault="00E9245C" w:rsidP="00E9245C">
            <w:pPr>
              <w:ind w:left="43"/>
              <w:jc w:val="center"/>
              <w:rPr>
                <w:sz w:val="24"/>
                <w:szCs w:val="24"/>
              </w:rPr>
            </w:pPr>
            <w:r>
              <w:rPr>
                <w:sz w:val="24"/>
                <w:szCs w:val="24"/>
              </w:rPr>
              <w:t>- Сети канализации в данном районе отсутствуют. Сброс стоков от участка предусмотреть в проектируемы септик (накопитель) , при условии согласования с Управлением Роспотребнадзора по Саратовской области в Вольском районе.</w:t>
            </w:r>
          </w:p>
          <w:p w:rsidR="00AD4793" w:rsidRPr="007D3F2D" w:rsidRDefault="00AD4793"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DE0455">
            <w:pPr>
              <w:ind w:left="43"/>
              <w:jc w:val="center"/>
              <w:rPr>
                <w:rFonts w:eastAsia="Calibri"/>
                <w:sz w:val="24"/>
                <w:szCs w:val="24"/>
                <w:lang w:eastAsia="en-US"/>
              </w:rPr>
            </w:pPr>
            <w:r w:rsidRPr="007D3F2D">
              <w:rPr>
                <w:sz w:val="24"/>
                <w:szCs w:val="24"/>
                <w:lang w:eastAsia="en-US"/>
              </w:rPr>
              <w:t>№</w:t>
            </w:r>
            <w:r w:rsidR="00DE0455">
              <w:rPr>
                <w:sz w:val="24"/>
                <w:szCs w:val="24"/>
                <w:lang w:eastAsia="en-US"/>
              </w:rPr>
              <w:t xml:space="preserve">3652 </w:t>
            </w:r>
            <w:r>
              <w:rPr>
                <w:sz w:val="24"/>
                <w:szCs w:val="24"/>
                <w:lang w:eastAsia="en-US"/>
              </w:rPr>
              <w:t xml:space="preserve"> </w:t>
            </w:r>
            <w:r w:rsidRPr="007D3F2D">
              <w:rPr>
                <w:sz w:val="24"/>
                <w:szCs w:val="24"/>
                <w:lang w:eastAsia="en-US"/>
              </w:rPr>
              <w:t xml:space="preserve">от </w:t>
            </w:r>
            <w:r w:rsidR="00DE0455">
              <w:rPr>
                <w:sz w:val="24"/>
                <w:szCs w:val="24"/>
                <w:lang w:eastAsia="en-US"/>
              </w:rPr>
              <w:t>24.12</w:t>
            </w:r>
            <w:r w:rsidRPr="007D3F2D">
              <w:rPr>
                <w:sz w:val="24"/>
                <w:szCs w:val="24"/>
                <w:lang w:eastAsia="en-US"/>
              </w:rPr>
              <w:t>.202</w:t>
            </w:r>
            <w:r w:rsidR="00E9245C">
              <w:rPr>
                <w:sz w:val="24"/>
                <w:szCs w:val="24"/>
                <w:lang w:eastAsia="en-US"/>
              </w:rPr>
              <w:t>4</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E9245C">
              <w:rPr>
                <w:sz w:val="24"/>
                <w:szCs w:val="24"/>
                <w:lang w:eastAsia="en-US"/>
              </w:rPr>
              <w:t>2700</w:t>
            </w:r>
            <w:r>
              <w:rPr>
                <w:sz w:val="24"/>
                <w:szCs w:val="24"/>
                <w:lang w:eastAsia="en-US"/>
              </w:rPr>
              <w:t xml:space="preserve"> </w:t>
            </w:r>
            <w:r w:rsidRPr="00B27D8C">
              <w:rPr>
                <w:sz w:val="24"/>
                <w:szCs w:val="24"/>
                <w:lang w:eastAsia="en-US"/>
              </w:rPr>
              <w:t xml:space="preserve">от </w:t>
            </w:r>
            <w:r w:rsidR="00E9245C">
              <w:rPr>
                <w:sz w:val="24"/>
                <w:szCs w:val="24"/>
                <w:lang w:eastAsia="en-US"/>
              </w:rPr>
              <w:t>25</w:t>
            </w:r>
            <w:r w:rsidRPr="00B27D8C">
              <w:rPr>
                <w:sz w:val="24"/>
                <w:szCs w:val="24"/>
                <w:lang w:eastAsia="en-US"/>
              </w:rPr>
              <w:t>.</w:t>
            </w:r>
            <w:r w:rsidR="00E9245C">
              <w:rPr>
                <w:sz w:val="24"/>
                <w:szCs w:val="24"/>
                <w:lang w:eastAsia="en-US"/>
              </w:rPr>
              <w:t>12</w:t>
            </w:r>
            <w:r>
              <w:rPr>
                <w:sz w:val="24"/>
                <w:szCs w:val="24"/>
                <w:lang w:eastAsia="en-US"/>
              </w:rPr>
              <w:t>.202</w:t>
            </w:r>
            <w:r w:rsidR="00E9245C">
              <w:rPr>
                <w:sz w:val="24"/>
                <w:szCs w:val="24"/>
                <w:lang w:eastAsia="en-US"/>
              </w:rPr>
              <w:t>4</w:t>
            </w:r>
          </w:p>
        </w:tc>
        <w:tc>
          <w:tcPr>
            <w:tcW w:w="3828" w:type="dxa"/>
          </w:tcPr>
          <w:p w:rsidR="00AD4793" w:rsidRDefault="00AD4793" w:rsidP="00AD4793">
            <w:pPr>
              <w:ind w:left="43"/>
              <w:jc w:val="center"/>
              <w:rPr>
                <w:sz w:val="24"/>
                <w:szCs w:val="24"/>
              </w:rPr>
            </w:pPr>
          </w:p>
          <w:p w:rsidR="00AD4793" w:rsidRPr="00B27D8C"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B8506D">
              <w:rPr>
                <w:sz w:val="24"/>
                <w:szCs w:val="24"/>
                <w:lang w:eastAsia="en-US"/>
              </w:rPr>
              <w:t xml:space="preserve"> №35</w:t>
            </w:r>
            <w:r w:rsidRPr="00B27D8C">
              <w:rPr>
                <w:sz w:val="24"/>
                <w:szCs w:val="24"/>
                <w:lang w:eastAsia="en-US"/>
              </w:rPr>
              <w:t xml:space="preserve"> от </w:t>
            </w:r>
            <w:r w:rsidR="00B8506D">
              <w:rPr>
                <w:sz w:val="24"/>
                <w:szCs w:val="24"/>
                <w:lang w:eastAsia="en-US"/>
              </w:rPr>
              <w:t>04.02</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t>Лот №3</w:t>
      </w:r>
      <w:r w:rsidRPr="00DE0455">
        <w:rPr>
          <w:b/>
          <w:sz w:val="24"/>
          <w:szCs w:val="24"/>
        </w:rPr>
        <w:t>:</w:t>
      </w:r>
      <w:r w:rsidRPr="00DE0455">
        <w:rPr>
          <w:color w:val="000000"/>
          <w:sz w:val="24"/>
          <w:szCs w:val="24"/>
        </w:rPr>
        <w:t xml:space="preserve">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B8506D" w:rsidRPr="00EE7B4F" w:rsidRDefault="00B8506D" w:rsidP="00B8506D">
      <w:pPr>
        <w:jc w:val="both"/>
        <w:rPr>
          <w:bCs/>
          <w:color w:val="000000"/>
          <w:sz w:val="24"/>
          <w:szCs w:val="24"/>
        </w:rPr>
      </w:pPr>
      <w:r w:rsidRPr="00EE7B4F">
        <w:rPr>
          <w:bCs/>
          <w:color w:val="000000"/>
          <w:sz w:val="24"/>
          <w:szCs w:val="24"/>
        </w:rPr>
        <w:t>Ограничения (обременения) прав отсутствуют.</w:t>
      </w:r>
    </w:p>
    <w:p w:rsidR="00B8506D" w:rsidRPr="00EE7B4F" w:rsidRDefault="00B8506D" w:rsidP="00B8506D">
      <w:pPr>
        <w:ind w:right="-96"/>
        <w:jc w:val="both"/>
        <w:rPr>
          <w:bCs/>
          <w:color w:val="000000"/>
          <w:sz w:val="24"/>
          <w:szCs w:val="24"/>
        </w:rPr>
      </w:pPr>
      <w:r w:rsidRPr="00EE7B4F">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DC0D36">
        <w:rPr>
          <w:bCs/>
          <w:color w:val="000000"/>
          <w:sz w:val="24"/>
          <w:szCs w:val="24"/>
        </w:rPr>
        <w:t>б)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4836C5" w:rsidRPr="005E4F36" w:rsidRDefault="004836C5" w:rsidP="004836C5">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№3, назначенные на 16.05.2025 г. признаны несостоявшимися.</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B8506D" w:rsidRPr="005D4980" w:rsidRDefault="00B8506D" w:rsidP="00B8506D">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B8506D" w:rsidRPr="005D4980" w:rsidTr="007D608F">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B8506D" w:rsidRPr="005D4980" w:rsidRDefault="00B8506D" w:rsidP="007D608F">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B8506D" w:rsidRPr="005D4980" w:rsidRDefault="00B8506D" w:rsidP="007D608F">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B8506D" w:rsidRDefault="00B8506D" w:rsidP="007D608F">
            <w:pPr>
              <w:widowControl w:val="0"/>
              <w:tabs>
                <w:tab w:val="left" w:pos="211"/>
              </w:tabs>
              <w:suppressAutoHyphens/>
              <w:snapToGrid w:val="0"/>
              <w:rPr>
                <w:sz w:val="24"/>
                <w:szCs w:val="24"/>
                <w:lang w:val="en-US"/>
              </w:rPr>
            </w:pPr>
            <w:r w:rsidRPr="005D4980">
              <w:rPr>
                <w:sz w:val="24"/>
                <w:szCs w:val="24"/>
              </w:rPr>
              <w:t>Обслуживание жилой застройки (2.7)</w:t>
            </w:r>
          </w:p>
          <w:p w:rsidR="00AC13AA" w:rsidRPr="00AC13AA" w:rsidRDefault="00AC13AA" w:rsidP="007D608F">
            <w:pPr>
              <w:widowControl w:val="0"/>
              <w:tabs>
                <w:tab w:val="left" w:pos="211"/>
              </w:tabs>
              <w:suppressAutoHyphens/>
              <w:snapToGrid w:val="0"/>
              <w:rPr>
                <w:sz w:val="24"/>
                <w:szCs w:val="24"/>
                <w:lang w:val="en-US"/>
              </w:rPr>
            </w:pP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lastRenderedPageBreak/>
              <w:t>Хранение автотранспорта (2.7.1)</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Общежития (3.2.4)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Магазины (4.4)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Спорт (5.1)</w:t>
            </w:r>
          </w:p>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B8506D" w:rsidRPr="005D4980" w:rsidTr="007D608F">
        <w:trPr>
          <w:trHeight w:val="20"/>
        </w:trPr>
        <w:tc>
          <w:tcPr>
            <w:tcW w:w="445"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B8506D" w:rsidRPr="005D4980" w:rsidRDefault="00B8506D" w:rsidP="007D608F">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B8506D" w:rsidRPr="005D4980" w:rsidRDefault="00B8506D" w:rsidP="007D608F">
            <w:pPr>
              <w:tabs>
                <w:tab w:val="left" w:pos="211"/>
                <w:tab w:val="left" w:pos="301"/>
              </w:tabs>
              <w:suppressAutoHyphens/>
              <w:jc w:val="both"/>
              <w:rPr>
                <w:sz w:val="24"/>
                <w:szCs w:val="24"/>
              </w:rPr>
            </w:pPr>
            <w:r w:rsidRPr="005D4980">
              <w:rPr>
                <w:sz w:val="24"/>
                <w:szCs w:val="24"/>
              </w:rPr>
              <w:t>Гостиничное обслуживание (4.7)</w:t>
            </w:r>
          </w:p>
          <w:p w:rsidR="00B8506D" w:rsidRDefault="00B8506D" w:rsidP="007D608F">
            <w:pPr>
              <w:tabs>
                <w:tab w:val="left" w:pos="211"/>
                <w:tab w:val="left" w:pos="301"/>
              </w:tabs>
              <w:suppressAutoHyphens/>
              <w:jc w:val="both"/>
              <w:rPr>
                <w:sz w:val="24"/>
                <w:szCs w:val="24"/>
              </w:rPr>
            </w:pPr>
            <w:r w:rsidRPr="005D4980">
              <w:rPr>
                <w:sz w:val="24"/>
                <w:szCs w:val="24"/>
              </w:rPr>
              <w:t>Отдых (рекреация) (5.0)</w:t>
            </w:r>
          </w:p>
          <w:p w:rsidR="00B8506D" w:rsidRPr="00980E77" w:rsidRDefault="00B8506D" w:rsidP="007D608F">
            <w:pPr>
              <w:tabs>
                <w:tab w:val="left" w:pos="211"/>
                <w:tab w:val="left" w:pos="301"/>
              </w:tabs>
              <w:suppressAutoHyphens/>
              <w:jc w:val="both"/>
              <w:rPr>
                <w:sz w:val="24"/>
                <w:szCs w:val="24"/>
              </w:rPr>
            </w:pPr>
            <w:r w:rsidRPr="00980E77">
              <w:rPr>
                <w:sz w:val="24"/>
                <w:szCs w:val="24"/>
              </w:rPr>
              <w:t>Виноградарство (1.5.1)</w:t>
            </w:r>
          </w:p>
        </w:tc>
      </w:tr>
      <w:tr w:rsidR="00B8506D" w:rsidRPr="005D4980" w:rsidTr="007D608F">
        <w:trPr>
          <w:trHeight w:val="20"/>
        </w:trPr>
        <w:tc>
          <w:tcPr>
            <w:tcW w:w="9923" w:type="dxa"/>
            <w:gridSpan w:val="3"/>
            <w:tcBorders>
              <w:top w:val="nil"/>
              <w:left w:val="single" w:sz="4" w:space="0" w:color="000000"/>
              <w:bottom w:val="single" w:sz="4" w:space="0" w:color="auto"/>
              <w:right w:val="single" w:sz="4" w:space="0" w:color="000000"/>
            </w:tcBorders>
            <w:vAlign w:val="center"/>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8506D" w:rsidRPr="005D4980" w:rsidRDefault="00B8506D" w:rsidP="007D608F">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B8506D" w:rsidRPr="005D4980" w:rsidRDefault="00B8506D" w:rsidP="007D608F">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B8506D" w:rsidRPr="005D4980" w:rsidRDefault="00B8506D" w:rsidP="007D608F">
            <w:pPr>
              <w:ind w:left="317" w:hanging="284"/>
              <w:jc w:val="both"/>
              <w:rPr>
                <w:sz w:val="24"/>
                <w:szCs w:val="24"/>
              </w:rPr>
            </w:pPr>
            <w:r w:rsidRPr="005D4980">
              <w:rPr>
                <w:sz w:val="24"/>
                <w:szCs w:val="24"/>
              </w:rPr>
              <w:t xml:space="preserve">- от красной линии проездов – 3 м; </w:t>
            </w:r>
          </w:p>
          <w:p w:rsidR="00B8506D" w:rsidRPr="005D4980" w:rsidRDefault="00B8506D" w:rsidP="007D608F">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 xml:space="preserve">Максимальное количество этажей (ИЖС, блокированная жилая застройка)  - 3.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земельных участков и </w:t>
            </w:r>
            <w:r w:rsidRPr="005D4980">
              <w:rPr>
                <w:sz w:val="24"/>
                <w:szCs w:val="24"/>
                <w:lang w:eastAsia="ar-SA"/>
              </w:rPr>
              <w:lastRenderedPageBreak/>
              <w:t>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r w:rsidRPr="005D4980">
              <w:rPr>
                <w:sz w:val="24"/>
                <w:szCs w:val="24"/>
              </w:rPr>
              <w:lastRenderedPageBreak/>
              <w:t>главой 14 настоящих Правил.</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w:t>
            </w:r>
            <w:r w:rsidRPr="005D4980">
              <w:rPr>
                <w:sz w:val="24"/>
                <w:szCs w:val="24"/>
              </w:rPr>
              <w:lastRenderedPageBreak/>
              <w:t>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B8506D" w:rsidRDefault="00B8506D" w:rsidP="00B8506D">
      <w:pPr>
        <w:pStyle w:val="a5"/>
        <w:ind w:firstLine="0"/>
        <w:jc w:val="both"/>
        <w:rPr>
          <w:b/>
          <w:color w:val="000000"/>
          <w:spacing w:val="1"/>
          <w:szCs w:val="24"/>
        </w:rPr>
      </w:pPr>
    </w:p>
    <w:p w:rsidR="00B8506D" w:rsidRDefault="00B8506D"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B8506D" w:rsidRDefault="00B8506D" w:rsidP="007D608F">
            <w:pPr>
              <w:ind w:left="43"/>
              <w:jc w:val="center"/>
              <w:rPr>
                <w:sz w:val="24"/>
                <w:szCs w:val="24"/>
              </w:rPr>
            </w:pPr>
            <w:r>
              <w:rPr>
                <w:sz w:val="24"/>
                <w:szCs w:val="24"/>
              </w:rPr>
              <w:t xml:space="preserve">- Водоснабжение  объекта предусмотреть от водопроводной линии по ул. Аткарская. </w:t>
            </w:r>
          </w:p>
          <w:p w:rsidR="00B8506D" w:rsidRDefault="00B8506D" w:rsidP="007D608F">
            <w:pPr>
              <w:ind w:left="43"/>
              <w:jc w:val="center"/>
              <w:rPr>
                <w:sz w:val="24"/>
                <w:szCs w:val="24"/>
              </w:rPr>
            </w:pPr>
            <w:r>
              <w:rPr>
                <w:sz w:val="24"/>
                <w:szCs w:val="24"/>
              </w:rPr>
              <w:t>(подача воды в данном районе ограничена)</w:t>
            </w:r>
          </w:p>
          <w:p w:rsidR="00B8506D" w:rsidRPr="007D3F2D" w:rsidRDefault="00B8506D" w:rsidP="007D608F">
            <w:pPr>
              <w:ind w:left="43"/>
              <w:jc w:val="center"/>
              <w:rPr>
                <w:sz w:val="24"/>
                <w:szCs w:val="24"/>
                <w:lang w:eastAsia="en-US"/>
              </w:rPr>
            </w:pPr>
            <w:r>
              <w:rPr>
                <w:sz w:val="24"/>
                <w:szCs w:val="24"/>
              </w:rPr>
              <w:t xml:space="preserve">- Сети канализации в данном районе отсутствуют. </w:t>
            </w:r>
            <w:r w:rsidRPr="007D3F2D">
              <w:rPr>
                <w:sz w:val="24"/>
                <w:szCs w:val="24"/>
              </w:rPr>
              <w:t>Письмо ГУП Саратовской области «Облводоресурс» Вольский филиал</w:t>
            </w:r>
          </w:p>
          <w:p w:rsidR="00B8506D" w:rsidRPr="00B27D8C" w:rsidRDefault="00B8506D" w:rsidP="00B8506D">
            <w:pPr>
              <w:ind w:left="43"/>
              <w:jc w:val="center"/>
              <w:rPr>
                <w:rFonts w:eastAsia="Calibri"/>
                <w:sz w:val="24"/>
                <w:szCs w:val="24"/>
                <w:lang w:eastAsia="en-US"/>
              </w:rPr>
            </w:pPr>
            <w:r w:rsidRPr="007D3F2D">
              <w:rPr>
                <w:sz w:val="24"/>
                <w:szCs w:val="24"/>
                <w:lang w:eastAsia="en-US"/>
              </w:rPr>
              <w:t>№</w:t>
            </w:r>
            <w:r>
              <w:rPr>
                <w:sz w:val="24"/>
                <w:szCs w:val="24"/>
                <w:lang w:eastAsia="en-US"/>
              </w:rPr>
              <w:t xml:space="preserve">673  </w:t>
            </w:r>
            <w:r w:rsidRPr="007D3F2D">
              <w:rPr>
                <w:sz w:val="24"/>
                <w:szCs w:val="24"/>
                <w:lang w:eastAsia="en-US"/>
              </w:rPr>
              <w:t xml:space="preserve">от </w:t>
            </w:r>
            <w:r>
              <w:rPr>
                <w:sz w:val="24"/>
                <w:szCs w:val="24"/>
                <w:lang w:eastAsia="en-US"/>
              </w:rPr>
              <w:t>03.03</w:t>
            </w:r>
            <w:r w:rsidRPr="007D3F2D">
              <w:rPr>
                <w:sz w:val="24"/>
                <w:szCs w:val="24"/>
                <w:lang w:eastAsia="en-US"/>
              </w:rPr>
              <w:t>.202</w:t>
            </w:r>
            <w:r>
              <w:rPr>
                <w:sz w:val="24"/>
                <w:szCs w:val="24"/>
                <w:lang w:eastAsia="en-US"/>
              </w:rPr>
              <w:t>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Pr>
                <w:sz w:val="24"/>
                <w:szCs w:val="24"/>
                <w:lang w:eastAsia="en-US"/>
              </w:rPr>
              <w:t xml:space="preserve">286 </w:t>
            </w:r>
            <w:r w:rsidRPr="00B27D8C">
              <w:rPr>
                <w:sz w:val="24"/>
                <w:szCs w:val="24"/>
                <w:lang w:eastAsia="en-US"/>
              </w:rPr>
              <w:t xml:space="preserve">от </w:t>
            </w:r>
            <w:r>
              <w:rPr>
                <w:sz w:val="24"/>
                <w:szCs w:val="24"/>
                <w:lang w:eastAsia="en-US"/>
              </w:rPr>
              <w:t>28</w:t>
            </w:r>
            <w:r w:rsidRPr="00B27D8C">
              <w:rPr>
                <w:sz w:val="24"/>
                <w:szCs w:val="24"/>
                <w:lang w:eastAsia="en-US"/>
              </w:rPr>
              <w:t>.</w:t>
            </w:r>
            <w:r>
              <w:rPr>
                <w:sz w:val="24"/>
                <w:szCs w:val="24"/>
                <w:lang w:eastAsia="en-US"/>
              </w:rPr>
              <w:t>02.2025</w:t>
            </w:r>
          </w:p>
        </w:tc>
        <w:tc>
          <w:tcPr>
            <w:tcW w:w="3828" w:type="dxa"/>
          </w:tcPr>
          <w:p w:rsidR="00B8506D" w:rsidRDefault="00B8506D" w:rsidP="007D608F">
            <w:pPr>
              <w:ind w:left="43"/>
              <w:jc w:val="center"/>
              <w:rPr>
                <w:sz w:val="24"/>
                <w:szCs w:val="24"/>
              </w:rPr>
            </w:pPr>
          </w:p>
          <w:p w:rsidR="00B8506D" w:rsidRPr="00B27D8C" w:rsidRDefault="00B8506D" w:rsidP="007D608F">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№83</w:t>
            </w:r>
            <w:r w:rsidRPr="00B27D8C">
              <w:rPr>
                <w:sz w:val="24"/>
                <w:szCs w:val="24"/>
                <w:lang w:eastAsia="en-US"/>
              </w:rPr>
              <w:t xml:space="preserve"> от </w:t>
            </w:r>
            <w:r>
              <w:rPr>
                <w:sz w:val="24"/>
                <w:szCs w:val="24"/>
                <w:lang w:eastAsia="en-US"/>
              </w:rPr>
              <w:t>04.03</w:t>
            </w:r>
            <w:r w:rsidRPr="00B27D8C">
              <w:rPr>
                <w:sz w:val="24"/>
                <w:szCs w:val="24"/>
                <w:lang w:eastAsia="en-US"/>
              </w:rPr>
              <w:t>.202</w:t>
            </w:r>
            <w:r>
              <w:rPr>
                <w:sz w:val="24"/>
                <w:szCs w:val="24"/>
                <w:lang w:eastAsia="en-US"/>
              </w:rPr>
              <w:t>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lastRenderedPageBreak/>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F57DBD" w:rsidRDefault="009C433C" w:rsidP="00D77A70">
      <w:pPr>
        <w:jc w:val="both"/>
        <w:rPr>
          <w:sz w:val="24"/>
          <w:szCs w:val="24"/>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B8506D">
        <w:rPr>
          <w:sz w:val="24"/>
          <w:szCs w:val="24"/>
        </w:rPr>
        <w:t>01.04</w:t>
      </w:r>
      <w:r w:rsidR="004C1D55" w:rsidRPr="00F57DBD">
        <w:rPr>
          <w:sz w:val="24"/>
          <w:szCs w:val="24"/>
        </w:rPr>
        <w:t>.</w:t>
      </w:r>
      <w:r w:rsidR="00B8506D">
        <w:rPr>
          <w:sz w:val="24"/>
          <w:szCs w:val="24"/>
        </w:rPr>
        <w:t xml:space="preserve">2025 </w:t>
      </w:r>
      <w:r w:rsidR="00366FAD" w:rsidRPr="00F57DBD">
        <w:rPr>
          <w:sz w:val="24"/>
          <w:szCs w:val="24"/>
        </w:rPr>
        <w:t>г. №</w:t>
      </w:r>
      <w:r w:rsidR="00B8506D">
        <w:rPr>
          <w:sz w:val="24"/>
          <w:szCs w:val="24"/>
        </w:rPr>
        <w:t>804</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4836C5">
        <w:rPr>
          <w:b/>
          <w:szCs w:val="24"/>
        </w:rPr>
        <w:t>20.06</w:t>
      </w:r>
      <w:r w:rsidR="003268C5" w:rsidRPr="00FF2923">
        <w:rPr>
          <w:b/>
          <w:szCs w:val="24"/>
        </w:rPr>
        <w:t>.202</w:t>
      </w:r>
      <w:r w:rsidR="00C14466">
        <w:rPr>
          <w:b/>
          <w:szCs w:val="24"/>
        </w:rPr>
        <w:t xml:space="preserve">5 </w:t>
      </w:r>
      <w:r w:rsidR="003268C5" w:rsidRPr="00FF2923">
        <w:rPr>
          <w:b/>
          <w:szCs w:val="24"/>
        </w:rPr>
        <w:t xml:space="preserve">г. в </w:t>
      </w:r>
      <w:r w:rsidR="004836C5">
        <w:rPr>
          <w:b/>
          <w:szCs w:val="24"/>
        </w:rPr>
        <w:t>09</w:t>
      </w:r>
      <w:r w:rsidR="003268C5" w:rsidRPr="00FF2923">
        <w:rPr>
          <w:b/>
          <w:szCs w:val="24"/>
        </w:rPr>
        <w:t xml:space="preserve"> часов 00 мин.</w:t>
      </w:r>
      <w:r w:rsidR="0011451A" w:rsidRPr="00FF2923">
        <w:rPr>
          <w:b/>
          <w:szCs w:val="24"/>
        </w:rPr>
        <w:t xml:space="preserve"> * </w:t>
      </w:r>
    </w:p>
    <w:p w:rsidR="00515012" w:rsidRPr="00377F81" w:rsidRDefault="0011451A" w:rsidP="00377F81">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C14466" w:rsidRPr="00F2372D" w:rsidRDefault="00C14466" w:rsidP="00D77A70">
      <w:pPr>
        <w:pStyle w:val="a5"/>
        <w:ind w:firstLine="720"/>
        <w:jc w:val="both"/>
        <w:rPr>
          <w:b/>
          <w:szCs w:val="24"/>
        </w:rPr>
      </w:pP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Pr="00AB2033">
        <w:rPr>
          <w:b/>
          <w:szCs w:val="24"/>
        </w:rPr>
        <w:t>:</w:t>
      </w:r>
      <w:r w:rsidR="00BD2036" w:rsidRPr="00AB2033">
        <w:rPr>
          <w:b/>
          <w:szCs w:val="24"/>
        </w:rPr>
        <w:t xml:space="preserve"> </w:t>
      </w:r>
      <w:r w:rsidR="00270442" w:rsidRPr="00AB2033">
        <w:rPr>
          <w:szCs w:val="24"/>
        </w:rPr>
        <w:t xml:space="preserve">с </w:t>
      </w:r>
      <w:r w:rsidR="00BD2036" w:rsidRPr="00AB2033">
        <w:rPr>
          <w:szCs w:val="24"/>
        </w:rPr>
        <w:t xml:space="preserve"> </w:t>
      </w:r>
      <w:r w:rsidR="004836C5">
        <w:rPr>
          <w:szCs w:val="24"/>
        </w:rPr>
        <w:t>26</w:t>
      </w:r>
      <w:r w:rsidRPr="00AB2033">
        <w:rPr>
          <w:szCs w:val="24"/>
        </w:rPr>
        <w:t>.</w:t>
      </w:r>
      <w:r w:rsidR="004836C5">
        <w:rPr>
          <w:szCs w:val="24"/>
        </w:rPr>
        <w:t>05</w:t>
      </w:r>
      <w:r w:rsidR="003151CE" w:rsidRPr="00AB2033">
        <w:rPr>
          <w:szCs w:val="24"/>
        </w:rPr>
        <w:t>.2025</w:t>
      </w:r>
      <w:r w:rsidRPr="00AB2033">
        <w:rPr>
          <w:szCs w:val="24"/>
        </w:rPr>
        <w:t xml:space="preserve"> г. (с 8.00 часов</w:t>
      </w:r>
      <w:r w:rsidRPr="0021685C">
        <w:rPr>
          <w:szCs w:val="24"/>
        </w:rPr>
        <w:t xml:space="preserve">)  по </w:t>
      </w:r>
      <w:r w:rsidR="004836C5">
        <w:rPr>
          <w:szCs w:val="24"/>
        </w:rPr>
        <w:t>17.06</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4836C5">
        <w:rPr>
          <w:szCs w:val="24"/>
        </w:rPr>
        <w:t>19.06</w:t>
      </w:r>
      <w:r w:rsidR="00C14466" w:rsidRPr="00AB2033">
        <w:rPr>
          <w:szCs w:val="24"/>
        </w:rPr>
        <w:t>.2025</w:t>
      </w:r>
      <w:r w:rsidRPr="00AB2033">
        <w:rPr>
          <w:szCs w:val="24"/>
        </w:rPr>
        <w:t xml:space="preserve"> г. в </w:t>
      </w:r>
      <w:r w:rsidR="00F06844">
        <w:rPr>
          <w:szCs w:val="24"/>
        </w:rPr>
        <w:t>0</w:t>
      </w:r>
      <w:r w:rsidR="004836C5">
        <w:rPr>
          <w:szCs w:val="24"/>
        </w:rPr>
        <w:t>9</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4836C5">
        <w:rPr>
          <w:b/>
          <w:szCs w:val="24"/>
        </w:rPr>
        <w:t>20</w:t>
      </w:r>
      <w:r w:rsidRPr="00AB2033">
        <w:rPr>
          <w:b/>
          <w:szCs w:val="24"/>
        </w:rPr>
        <w:t>.</w:t>
      </w:r>
      <w:r w:rsidR="004836C5">
        <w:rPr>
          <w:b/>
          <w:szCs w:val="24"/>
        </w:rPr>
        <w:t>06</w:t>
      </w:r>
      <w:r w:rsidR="00C14466" w:rsidRPr="00AB2033">
        <w:rPr>
          <w:b/>
          <w:szCs w:val="24"/>
        </w:rPr>
        <w:t xml:space="preserve">.2025 </w:t>
      </w:r>
      <w:r w:rsidRPr="00AB2033">
        <w:rPr>
          <w:b/>
          <w:szCs w:val="24"/>
        </w:rPr>
        <w:t xml:space="preserve">г. в </w:t>
      </w:r>
      <w:r w:rsidR="004836C5">
        <w:rPr>
          <w:b/>
          <w:szCs w:val="24"/>
        </w:rPr>
        <w:t>09</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lastRenderedPageBreak/>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Pr="00FF2923"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4836C5">
        <w:rPr>
          <w:b/>
          <w:sz w:val="24"/>
          <w:szCs w:val="24"/>
        </w:rPr>
        <w:t>26.05</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4836C5">
        <w:rPr>
          <w:b/>
          <w:sz w:val="24"/>
          <w:szCs w:val="24"/>
        </w:rPr>
        <w:t>17.06</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lastRenderedPageBreak/>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D71D24" w:rsidRDefault="00A15D71" w:rsidP="00D77A70">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D71D24" w:rsidRDefault="00A15D71" w:rsidP="00D77A70">
      <w:pPr>
        <w:ind w:left="14" w:firstLine="553"/>
        <w:jc w:val="both"/>
        <w:rPr>
          <w:b/>
          <w:sz w:val="24"/>
          <w:szCs w:val="24"/>
        </w:rPr>
      </w:pP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lastRenderedPageBreak/>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lastRenderedPageBreak/>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DC03AD" w:rsidRPr="00DC03AD" w:rsidRDefault="00DC03AD" w:rsidP="00D77A70">
      <w:pPr>
        <w:ind w:left="14" w:firstLine="696"/>
        <w:jc w:val="both"/>
        <w:rPr>
          <w:sz w:val="24"/>
          <w:szCs w:val="24"/>
        </w:rPr>
      </w:pPr>
      <w:r w:rsidRPr="00DC03AD">
        <w:rPr>
          <w:color w:val="000000"/>
          <w:sz w:val="24"/>
          <w:szCs w:val="24"/>
          <w:shd w:val="clear" w:color="auto" w:fill="FFFFF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r w:rsidR="00D84188">
        <w:rPr>
          <w:color w:val="000000"/>
          <w:sz w:val="24"/>
          <w:szCs w:val="24"/>
          <w:shd w:val="clear" w:color="auto" w:fill="FFFFFF"/>
        </w:rPr>
        <w:t>.</w:t>
      </w:r>
    </w:p>
    <w:p w:rsidR="00741DF1" w:rsidRPr="00D84305" w:rsidRDefault="00CA7533" w:rsidP="00741DF1">
      <w:pPr>
        <w:ind w:left="14" w:firstLine="696"/>
        <w:jc w:val="both"/>
        <w:rPr>
          <w:sz w:val="24"/>
          <w:szCs w:val="24"/>
          <w:shd w:val="clear" w:color="auto" w:fill="FFFFFF"/>
        </w:rPr>
      </w:pPr>
      <w:r w:rsidRPr="00D84305">
        <w:rPr>
          <w:sz w:val="24"/>
          <w:szCs w:val="24"/>
          <w:shd w:val="clear" w:color="auto" w:fill="FFFFFF"/>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E8000B" w:rsidRPr="00D84305" w:rsidRDefault="00E8000B" w:rsidP="00E8000B">
      <w:pPr>
        <w:ind w:firstLine="709"/>
        <w:jc w:val="both"/>
        <w:rPr>
          <w:sz w:val="24"/>
          <w:szCs w:val="24"/>
        </w:rPr>
      </w:pPr>
      <w:r w:rsidRPr="00D84305">
        <w:rPr>
          <w:sz w:val="24"/>
          <w:szCs w:val="24"/>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17" w:anchor="/document/12124624/entry/391213" w:history="1">
        <w:r w:rsidRPr="00D84305">
          <w:rPr>
            <w:rStyle w:val="aa"/>
            <w:color w:val="auto"/>
            <w:sz w:val="24"/>
            <w:szCs w:val="24"/>
          </w:rPr>
          <w:t>пунктом 13</w:t>
        </w:r>
      </w:hyperlink>
      <w:r w:rsidRPr="00D84305">
        <w:rPr>
          <w:sz w:val="24"/>
          <w:szCs w:val="24"/>
        </w:rPr>
        <w:t> статьи 39.12 Земельного кодекса Российской Федерации.</w:t>
      </w:r>
    </w:p>
    <w:p w:rsidR="0043611E" w:rsidRPr="00D84305" w:rsidRDefault="0043611E" w:rsidP="0043611E">
      <w:pPr>
        <w:pStyle w:val="s1"/>
        <w:spacing w:before="0" w:beforeAutospacing="0" w:after="0" w:afterAutospacing="0"/>
        <w:ind w:firstLine="709"/>
        <w:jc w:val="both"/>
      </w:pPr>
      <w:r w:rsidRPr="00D84305">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3611E" w:rsidRPr="00D84305" w:rsidRDefault="0043611E" w:rsidP="0043611E">
      <w:pPr>
        <w:pStyle w:val="s1"/>
        <w:spacing w:before="0" w:beforeAutospacing="0" w:after="0" w:afterAutospacing="0"/>
        <w:ind w:firstLine="709"/>
        <w:jc w:val="both"/>
      </w:pPr>
      <w:r w:rsidRPr="00D84305">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w:t>
      </w:r>
      <w:hyperlink r:id="rId18" w:tgtFrame="_blank" w:history="1">
        <w:r w:rsidRPr="00D84305">
          <w:rPr>
            <w:rStyle w:val="aa"/>
            <w:color w:val="auto"/>
          </w:rPr>
          <w:t>официальном сайте</w:t>
        </w:r>
      </w:hyperlink>
      <w:r w:rsidRPr="00D84305">
        <w:t>, в том числе договоров, указанных в </w:t>
      </w:r>
      <w:hyperlink r:id="rId19" w:anchor="/document/12124624/entry/391213" w:history="1">
        <w:r w:rsidRPr="00D84305">
          <w:rPr>
            <w:rStyle w:val="aa"/>
            <w:color w:val="auto"/>
          </w:rPr>
          <w:t>пунктах 13</w:t>
        </w:r>
      </w:hyperlink>
      <w:r w:rsidRPr="00D84305">
        <w:t> и </w:t>
      </w:r>
      <w:hyperlink r:id="rId20" w:anchor="/document/12124624/entry/391214" w:history="1">
        <w:r w:rsidRPr="00D84305">
          <w:rPr>
            <w:rStyle w:val="aa"/>
            <w:color w:val="auto"/>
          </w:rPr>
          <w:t>14</w:t>
        </w:r>
      </w:hyperlink>
      <w:r w:rsidRPr="00D84305">
        <w:t> статьи 39.12. Земельного кодекса Российской Федерации.</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lastRenderedPageBreak/>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43611E" w:rsidRPr="00D84305" w:rsidRDefault="0043611E" w:rsidP="0043611E">
      <w:pPr>
        <w:pStyle w:val="s1"/>
        <w:shd w:val="clear" w:color="auto" w:fill="FFFFFF"/>
        <w:spacing w:before="0" w:beforeAutospacing="0" w:after="0" w:afterAutospacing="0"/>
        <w:ind w:firstLine="709"/>
        <w:jc w:val="both"/>
        <w:rPr>
          <w:color w:val="22272F"/>
        </w:rPr>
      </w:pPr>
      <w:r w:rsidRPr="00D84305">
        <w:rPr>
          <w:color w:val="22272F"/>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317A01" w:rsidRPr="00BD2036" w:rsidRDefault="007D3F2D" w:rsidP="00D77A70">
      <w:pPr>
        <w:rPr>
          <w:color w:val="000000"/>
          <w:sz w:val="24"/>
          <w:szCs w:val="24"/>
        </w:rPr>
      </w:pPr>
      <w:r>
        <w:rPr>
          <w:color w:val="000000"/>
          <w:sz w:val="24"/>
          <w:szCs w:val="24"/>
        </w:rPr>
        <w:t xml:space="preserve">Председатель </w:t>
      </w:r>
      <w:r w:rsidR="00317A01" w:rsidRPr="00BD2036">
        <w:rPr>
          <w:color w:val="000000"/>
          <w:sz w:val="24"/>
          <w:szCs w:val="24"/>
        </w:rPr>
        <w:t>Комитета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812201">
        <w:rPr>
          <w:color w:val="000000"/>
          <w:sz w:val="24"/>
          <w:szCs w:val="24"/>
        </w:rPr>
        <w:t>М</w:t>
      </w:r>
      <w:r w:rsidR="00F81649" w:rsidRPr="00BD2036">
        <w:rPr>
          <w:color w:val="000000"/>
          <w:sz w:val="24"/>
          <w:szCs w:val="24"/>
        </w:rPr>
        <w:t xml:space="preserve">.В. </w:t>
      </w:r>
      <w:bookmarkStart w:id="1" w:name="_GoBack"/>
      <w:bookmarkEnd w:id="1"/>
      <w:r w:rsidR="00812201">
        <w:rPr>
          <w:color w:val="000000"/>
          <w:sz w:val="24"/>
          <w:szCs w:val="24"/>
        </w:rPr>
        <w:t>Подошвина</w:t>
      </w:r>
    </w:p>
    <w:sectPr w:rsidR="00D77A70" w:rsidSect="00E34EA5">
      <w:footerReference w:type="default" r:id="rId21"/>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E13" w:rsidRDefault="00D00E13" w:rsidP="0084527A">
      <w:r>
        <w:separator/>
      </w:r>
    </w:p>
  </w:endnote>
  <w:endnote w:type="continuationSeparator" w:id="1">
    <w:p w:rsidR="00D00E13" w:rsidRDefault="00D00E13"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8F" w:rsidRDefault="00CB796B">
    <w:pPr>
      <w:pStyle w:val="af3"/>
      <w:jc w:val="right"/>
    </w:pPr>
    <w:r>
      <w:rPr>
        <w:noProof/>
      </w:rPr>
      <w:fldChar w:fldCharType="begin"/>
    </w:r>
    <w:r w:rsidR="007D608F">
      <w:rPr>
        <w:noProof/>
      </w:rPr>
      <w:instrText xml:space="preserve"> PAGE   \* MERGEFORMAT </w:instrText>
    </w:r>
    <w:r>
      <w:rPr>
        <w:noProof/>
      </w:rPr>
      <w:fldChar w:fldCharType="separate"/>
    </w:r>
    <w:r w:rsidR="00AC13AA">
      <w:rPr>
        <w:noProof/>
      </w:rPr>
      <w:t>16</w:t>
    </w:r>
    <w:r>
      <w:rPr>
        <w:noProof/>
      </w:rPr>
      <w:fldChar w:fldCharType="end"/>
    </w:r>
  </w:p>
  <w:p w:rsidR="007D608F" w:rsidRDefault="007D608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E13" w:rsidRDefault="00D00E13" w:rsidP="0084527A">
      <w:r>
        <w:separator/>
      </w:r>
    </w:p>
  </w:footnote>
  <w:footnote w:type="continuationSeparator" w:id="1">
    <w:p w:rsidR="00D00E13" w:rsidRDefault="00D00E13"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67910"/>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3E43"/>
    <w:rsid w:val="00F847F1"/>
    <w:rsid w:val="00F85C6F"/>
    <w:rsid w:val="00F86ED2"/>
    <w:rsid w:val="00F8769E"/>
    <w:rsid w:val="00F87BC7"/>
    <w:rsid w:val="00F9059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23" Type="http://schemas.openxmlformats.org/officeDocument/2006/relationships/theme" Target="theme/theme1.xml"/><Relationship Id="rId10" Type="http://schemas.openxmlformats.org/officeDocument/2006/relationships/hyperlink" Target="http://xn--b1aqclq9d.xn--p1ai/"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29</Pages>
  <Words>9326</Words>
  <Characters>53163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62365</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150</cp:revision>
  <cp:lastPrinted>2025-05-20T09:53:00Z</cp:lastPrinted>
  <dcterms:created xsi:type="dcterms:W3CDTF">2023-04-30T12:09:00Z</dcterms:created>
  <dcterms:modified xsi:type="dcterms:W3CDTF">2025-05-23T06:12:00Z</dcterms:modified>
</cp:coreProperties>
</file>